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UnStray Whitepaper</w:t>
      </w:r>
    </w:p>
    <w:p>
      <w:pPr>
        <w:pStyle w:val="Subtitle"/>
      </w:pPr>
      <w:r>
        <w:t>Sanctuary Development and Creator Fee Funding</w:t>
      </w:r>
    </w:p>
    <w:p>
      <w:r>
        <w:rPr>
          <w:sz w:val="20"/>
        </w:rPr>
        <w:t>Version 0.1 | 4 October 2026 | Detailed concept and proposed operating framework</w:t>
      </w:r>
    </w:p>
    <w:p>
      <w:r>
        <w:t>UnStray is a proposed animal rescue, rehabilitation and adoption project. Its goal is to build and operate a sanctuary for street dogs and cats, with Solana token creator fees as the primary intended funding source. Those funds are intended to cover the complete project, including land acquisition, construction, veterinary facilities, equipment, staffing and ongoing animal care. An optional dog and cat NFT collection could provide an additional funding channel and a collectible connection to the mission.</w:t>
      </w:r>
    </w:p>
    <w:p>
      <w:r>
        <w:t>This whitepaper explains how that idea would work in practice, where responsibility sits, how supporters would verify progress, and what conditions must be met before each stage proceeds. The project is at the planning stage. This document does not assert that a token has launched, land has been purchased, an organization has been registered, permits have been obtained, an NFT collection has been produced, or funds have been raised.</w:t>
      </w:r>
    </w:p>
    <w:p>
      <w:r>
        <w:t>The mission and funding intent reflect the founder’s stated direction. Operational controls, reserve targets and technical designs below are proposed policies for adoption and publication before launch. Examples are explanatory assumptions, not forecasts, vendor quotations or commitments. Unconfirmed parameters remain visibly unconfirmed rather than being replaced with invented numbers.</w:t>
      </w:r>
    </w:p>
    <w:p>
      <w:r>
        <w:t>Specific sanctuary locations, candidate parcels, addresses, coordinates and seller details are excluded. The location and appropriate purchase evidence are intended to be disclosed after purchase has completed, with personal and security-sensitive information redacted. This concept document is not a statutory crypto-asset white paper, legal opinion or finalized offer document.</w:t>
      </w:r>
    </w:p>
    <w:p>
      <w:r>
        <w:br w:type="page"/>
      </w:r>
    </w:p>
    <w:p>
      <w:pPr>
        <w:pStyle w:val="Heading1"/>
      </w:pPr>
      <w:r>
        <w:t>Contents</w:t>
      </w:r>
    </w:p>
    <w:p>
      <w:pPr>
        <w:spacing w:after="40" w:line="240" w:lineRule="auto"/>
      </w:pPr>
      <w:r>
        <w:t>1. Executive overview</w:t>
      </w:r>
    </w:p>
    <w:p>
      <w:pPr>
        <w:spacing w:after="40" w:line="240" w:lineRule="auto"/>
      </w:pPr>
      <w:r>
        <w:t>2. Mission and scope</w:t>
      </w:r>
    </w:p>
    <w:p>
      <w:pPr>
        <w:spacing w:after="40" w:line="240" w:lineRule="auto"/>
      </w:pPr>
      <w:r>
        <w:t>3. Brand and project structure</w:t>
      </w:r>
    </w:p>
    <w:p>
      <w:pPr>
        <w:spacing w:after="40" w:line="240" w:lineRule="auto"/>
      </w:pPr>
      <w:r>
        <w:t>4. Funding model</w:t>
      </w:r>
    </w:p>
    <w:p>
      <w:pPr>
        <w:spacing w:after="40" w:line="240" w:lineRule="auto"/>
      </w:pPr>
      <w:r>
        <w:t>5. Creator fee economics</w:t>
      </w:r>
    </w:p>
    <w:p>
      <w:pPr>
        <w:spacing w:after="40" w:line="240" w:lineRule="auto"/>
      </w:pPr>
      <w:r>
        <w:t>6. Token design and launch disclosures</w:t>
      </w:r>
    </w:p>
    <w:p>
      <w:pPr>
        <w:spacing w:after="40" w:line="240" w:lineRule="auto"/>
      </w:pPr>
      <w:r>
        <w:t>7. Potential NFT collection NFT collection</w:t>
      </w:r>
    </w:p>
    <w:p>
      <w:pPr>
        <w:spacing w:after="40" w:line="240" w:lineRule="auto"/>
      </w:pPr>
      <w:r>
        <w:t>8. Treasury custody and financial controls</w:t>
      </w:r>
    </w:p>
    <w:p>
      <w:pPr>
        <w:spacing w:after="40" w:line="240" w:lineRule="auto"/>
      </w:pPr>
      <w:r>
        <w:t>9. Allocation and spending priorities</w:t>
      </w:r>
    </w:p>
    <w:p>
      <w:pPr>
        <w:spacing w:after="40" w:line="240" w:lineRule="auto"/>
      </w:pPr>
      <w:r>
        <w:t>10. Sanctuary development budget</w:t>
      </w:r>
    </w:p>
    <w:p>
      <w:pPr>
        <w:spacing w:after="40" w:line="240" w:lineRule="auto"/>
      </w:pPr>
      <w:r>
        <w:t>11. Land purchase and asset protection</w:t>
      </w:r>
    </w:p>
    <w:p>
      <w:pPr>
        <w:spacing w:after="40" w:line="240" w:lineRule="auto"/>
      </w:pPr>
      <w:r>
        <w:t>12. Sanctuary design and construction</w:t>
      </w:r>
    </w:p>
    <w:p>
      <w:pPr>
        <w:spacing w:after="40" w:line="240" w:lineRule="auto"/>
      </w:pPr>
      <w:r>
        <w:t>13. Rescue and animal care</w:t>
      </w:r>
    </w:p>
    <w:p>
      <w:pPr>
        <w:spacing w:after="40" w:line="240" w:lineRule="auto"/>
      </w:pPr>
      <w:r>
        <w:t>14. Rehabilitation and adoption</w:t>
      </w:r>
    </w:p>
    <w:p>
      <w:pPr>
        <w:spacing w:after="40" w:line="240" w:lineRule="auto"/>
      </w:pPr>
      <w:r>
        <w:t>15. Staffing and operational readiness</w:t>
      </w:r>
    </w:p>
    <w:p>
      <w:pPr>
        <w:spacing w:after="40" w:line="240" w:lineRule="auto"/>
      </w:pPr>
      <w:r>
        <w:t>16. Transparency and public reporting</w:t>
      </w:r>
    </w:p>
    <w:p>
      <w:pPr>
        <w:spacing w:after="40" w:line="240" w:lineRule="auto"/>
      </w:pPr>
      <w:r>
        <w:t>17. Website and technical architecture</w:t>
      </w:r>
    </w:p>
    <w:p>
      <w:pPr>
        <w:spacing w:after="40" w:line="240" w:lineRule="auto"/>
      </w:pPr>
      <w:r>
        <w:t>18. Community participation and governance</w:t>
      </w:r>
    </w:p>
    <w:p>
      <w:pPr>
        <w:spacing w:after="40" w:line="240" w:lineRule="auto"/>
      </w:pPr>
      <w:r>
        <w:t>19. Legal and regulatory preparation</w:t>
      </w:r>
    </w:p>
    <w:p>
      <w:pPr>
        <w:spacing w:after="40" w:line="240" w:lineRule="auto"/>
      </w:pPr>
      <w:r>
        <w:t>20. Roadmap and milestone gates</w:t>
      </w:r>
    </w:p>
    <w:p>
      <w:pPr>
        <w:spacing w:after="40" w:line="240" w:lineRule="auto"/>
      </w:pPr>
      <w:r>
        <w:t>21. Risk management and continuity</w:t>
      </w:r>
    </w:p>
    <w:p>
      <w:pPr>
        <w:spacing w:after="40" w:line="240" w:lineRule="auto"/>
      </w:pPr>
      <w:r>
        <w:t>22. Impact measurement</w:t>
      </w:r>
    </w:p>
    <w:p>
      <w:pPr>
        <w:spacing w:after="40" w:line="240" w:lineRule="auto"/>
      </w:pPr>
      <w:r>
        <w:t>23. Communications and supporter expectations</w:t>
      </w:r>
    </w:p>
    <w:p>
      <w:pPr>
        <w:spacing w:after="40" w:line="240" w:lineRule="auto"/>
      </w:pPr>
      <w:r>
        <w:t>24. Unresolved decisions and launch checklist</w:t>
      </w:r>
    </w:p>
    <w:p>
      <w:pPr>
        <w:spacing w:after="40" w:line="240" w:lineRule="auto"/>
      </w:pPr>
      <w:r>
        <w:t>25. Worked financial examples</w:t>
      </w:r>
    </w:p>
    <w:p>
      <w:pPr>
        <w:spacing w:after="40" w:line="240" w:lineRule="auto"/>
      </w:pPr>
      <w:r>
        <w:t>26. Frequently asked questions</w:t>
      </w:r>
    </w:p>
    <w:p>
      <w:pPr>
        <w:spacing w:after="40" w:line="240" w:lineRule="auto"/>
      </w:pPr>
      <w:r>
        <w:t>27. Glossary and references</w:t>
      </w:r>
    </w:p>
    <w:p>
      <w:r>
        <w:br w:type="page"/>
      </w:r>
    </w:p>
    <w:p>
      <w:pPr>
        <w:pStyle w:val="Heading1"/>
      </w:pPr>
      <w:r>
        <w:t>1 Executive overview</w:t>
      </w:r>
    </w:p>
    <w:p>
      <w:r>
        <w:t>UnStray aims to give street dogs and cats a supported path from unsafe living conditions to health, stability and a suitable home. The physical sanctuary would provide separate dog and cat housing, quarantine and isolation facilities, veterinary treatment space, rehabilitation areas, an adoption center and the infrastructure needed to operate safely every day.</w:t>
      </w:r>
    </w:p>
    <w:p>
      <w:r>
        <w:t>The funding concept connects a Solana community token to a real development program. Where a selected launch platform or liquidity venue generates creator fees for eligible activity, UnStray would claim or receive its designated creator share and route it into a publicly identified treasury. Verified treasury funds would then be converted and allocated to approved sanctuary expenses. A proposed NFT collection would reveal dog and cat artwork and could contribute separately through mint proceeds and supported secondary royalties.</w:t>
      </w:r>
    </w:p>
    <w:p>
      <w:r>
        <w:t>The intended use of creator fees includes the whole sanctuary rather than only food or direct treatment. Land, buildings, staff, transport, permits, professional services, maintenance and emergency reserves are necessary parts of delivering animal care. Expenses would therefore be disclosed by category so supporters can understand both the animal-facing work and the infrastructure behind it.</w:t>
      </w:r>
    </w:p>
    <w:p>
      <w:r>
        <w:t>The project should advance according to collected funds, documented budgets and operational readiness. Trading activity can decline sharply or cease. Construction and intake must not rely on an assumed future token price or trading volume. The proposed safeguards are independent treasury oversight, reserves held in spendable assets, staged construction and an intake limit tied to actual care capacity.</w:t>
      </w:r>
    </w:p>
    <w:p>
      <w:r>
        <w:t>Success is measured through usable funds, completed facilities and animal outcomes. Token market capitalization, holder count, NFT floor price and social engagement may describe community activity, but they do not establish that a sanctuary is funded or that an animal has been helped.</w:t>
      </w:r>
    </w:p>
    <w:p>
      <w:pPr>
        <w:pStyle w:val="Heading1"/>
      </w:pPr>
      <w:r>
        <w:t>2 Mission and scope</w:t>
      </w:r>
    </w:p>
    <w:p>
      <w:pPr>
        <w:pStyle w:val="Heading2"/>
      </w:pPr>
      <w:r>
        <w:t>2.1 Purpose</w:t>
      </w:r>
    </w:p>
    <w:p>
      <w:r>
        <w:t>UnStray’s purpose is to rescue street dogs and cats when it can responsibly provide care, restore their health and confidence, and prepare them for adoption into suitable homes. Animals requiring longer care would receive an individualized plan rather than being pushed into unsuitable placements to improve adoption figures.</w:t>
      </w:r>
    </w:p>
    <w:p>
      <w:r>
        <w:t>The sanctuary would combine rescue, recovery and rehoming with practical prevention. As capacity grows, education, responsible ownership, sterilization partnerships and coordinated veterinary outreach could reduce future abandonment and uncontrolled breeding. These later activities are possible extensions, not funded programs at the time of this draft.</w:t>
      </w:r>
    </w:p>
    <w:p>
      <w:pPr>
        <w:pStyle w:val="Heading2"/>
      </w:pPr>
      <w:r>
        <w:t>2.2 Initial service scope</w:t>
      </w:r>
    </w:p>
    <w:p>
      <w:r>
        <w:t>The initial focus is dogs and cats. Expansion to other species would require appropriate facilities, staff expertise, legal permissions and separate funding. The launch narrative should not imply universal capacity to accept any animal or any number of animals.</w:t>
      </w:r>
    </w:p>
    <w:p>
      <w:r>
        <w:t>Each intake should be assessed against available housing, disease risk, staff workload, treatment needs and the remaining care reserve. A sanctuary becomes unsafe when it admits more animals than it can feed, isolate, treat or supervise. Capacity limits are therefore part of the mission.</w:t>
      </w:r>
    </w:p>
    <w:p>
      <w:pPr>
        <w:pStyle w:val="Heading2"/>
      </w:pPr>
      <w:r>
        <w:t>2.3 Welfare principles</w:t>
      </w:r>
    </w:p>
    <w:p>
      <w:r>
        <w:t>Care decisions should prioritize the animal’s welfare, including physical comfort, treatment, behavioral needs, social compatibility and freedom from avoidable fear. Animals should never be subjected to staged distress, withheld care or unnecessary handling for promotional content.</w:t>
      </w:r>
    </w:p>
    <w:p>
      <w:r>
        <w:t>Veterinary decisions belong to qualified professionals. The project should adopt a written end-of-life policy covering severe suffering and cases where humane intervention is medically indicated and legally permitted. Any such decision should be documented. A categorical promise that ignores suffering would undermine responsible care.</w:t>
      </w:r>
    </w:p>
    <w:p>
      <w:pPr>
        <w:pStyle w:val="Heading2"/>
      </w:pPr>
      <w:r>
        <w:t>2.4 What supporters are helping build</w:t>
      </w:r>
    </w:p>
    <w:p>
      <w:r>
        <w:t>Supporters are helping finance a functioning institution: secure land use, appropriate accommodation, trained people, veterinary access, adoption procedures and enough working capital to sustain care. The final design and opening capacity will depend on the property, approvals, costs and funds actually available.</w:t>
      </w:r>
    </w:p>
    <w:p>
      <w:pPr>
        <w:pStyle w:val="Heading1"/>
      </w:pPr>
      <w:r>
        <w:t>3 Brand and project structure</w:t>
      </w:r>
    </w:p>
    <w:p>
      <w:pPr>
        <w:pStyle w:val="Heading2"/>
      </w:pPr>
      <w:r>
        <w:t>3.1 Main identity</w:t>
      </w:r>
    </w:p>
    <w:p>
      <w:r>
        <w:t>UnStray is the main project name. Potential NFT collection is a supporting storytelling identity that may be used for the proposed NFT collection, rehabilitation stories and campaigns. The sanctuary remains recognizable as UnStray without requiring either a token or NFT explanation in every public interaction.</w:t>
      </w:r>
    </w:p>
    <w:p>
      <w:r>
        <w:t>Suggested public messaging is “From creator fees to forever homes.” Its purpose is to describe the funding route, not to imply that every trade directly produces an adoption or that every rescue will have the same outcome.</w:t>
      </w:r>
    </w:p>
    <w:p>
      <w:pPr>
        <w:pStyle w:val="Heading2"/>
      </w:pPr>
      <w:r>
        <w:t>3.2 Components</w:t>
      </w:r>
    </w:p>
    <w:p>
      <w:r>
        <w:t>The UnStray Sanctuary is the physical animal care operation. The UnStray Treasury is the financial system that receives and administers project funds. The UnStray Build Tracker is the public record of capital projects and milestone evidence. Potential NFT collection Stories documents individual rescue and rehabilitation journeys.</w:t>
      </w:r>
    </w:p>
    <w:p>
      <w:r>
        <w:t>The proposed Solana community token uses $UNSTRAY as a working ticker. The ticker and exact mint address remain subject to confirmation. Potential NFT collection by UnStray is a proposed NFT collection name; artwork, collection size, pricing and sale terms remain unconfirmed.</w:t>
      </w:r>
    </w:p>
    <w:p>
      <w:pPr>
        <w:pStyle w:val="Heading2"/>
      </w:pPr>
      <w:r>
        <w:t>3.3 Legal separation and responsibilities</w:t>
      </w:r>
    </w:p>
    <w:p>
      <w:r>
        <w:t>Before launch, the project must identify the token offeror, NFT issuer, fee recipient, treasury custodian, sanctuary operator and lawful landowner. These roles may sit within one entity or several entities, but the relationship between them must be documented. A shared brand alone does not legally transfer funds, property or obligations between organizations.</w:t>
      </w:r>
    </w:p>
    <w:p>
      <w:r>
        <w:t>If fees initially arrive at a founder-controlled address, the project must disclose that arrangement and the enforceable mechanism transferring those fees to the sanctuary entity. The preferred design is direct routing to an approved project-controlled treasury wherever supported. Any intermediary arrangement should have a limited duration, reconciliation rules and independent oversight.</w:t>
      </w:r>
    </w:p>
    <w:p>
      <w:r>
        <w:t>No charitable registration, tax exemption, donor deductibility, official partnership or regulatory approval is claimed in this draft.</w:t>
      </w:r>
    </w:p>
    <w:p>
      <w:pPr>
        <w:pStyle w:val="Heading1"/>
      </w:pPr>
      <w:r>
        <w:t>4 Funding model</w:t>
      </w:r>
    </w:p>
    <w:p>
      <w:pPr>
        <w:pStyle w:val="Heading2"/>
      </w:pPr>
      <w:r>
        <w:t>4.1 Primary intended source</w:t>
      </w:r>
    </w:p>
    <w:p>
      <w:r>
        <w:t>Creator fees associated with the proposed Solana token are intended to fund the complete sanctuary. The source must be described accurately: eligible platform activity generates a creator entitlement under that platform’s rules; that entitlement is claimed or automatically distributed; the received assets enter the project treasury; and funds are then used for approved development and operating expenses.</w:t>
      </w:r>
    </w:p>
    <w:p>
      <w:r>
        <w:t>There is no final launch platform in this document. Creator eligibility, fee percentages, payout assets, claim frequency, fee recipients and treatment after migration must be verified for the actual chosen platform and every subsequent venue. UnStray must not advertise a universal fee on all token transfers or trades if the selected mechanism only covers a particular venue.</w:t>
      </w:r>
    </w:p>
    <w:p>
      <w:pPr>
        <w:pStyle w:val="Heading2"/>
      </w:pPr>
      <w:r>
        <w:t>4.2 Funding sequence</w:t>
      </w:r>
    </w:p>
    <w:p>
      <w:r>
        <w:t>The proposed sequence is: establish the operating and fundraising structure; publish the launch parameters and treasury controls; collect verified revenue; build a spendable reserve; complete land due diligence; purchase a suitable property; develop a minimum safe facility; recruit staff and establish veterinary coverage; then begin controlled animal intake.</w:t>
      </w:r>
    </w:p>
    <w:p>
      <w:r>
        <w:t>Land purchase is a major milestone, but it does not by itself establish operational readiness. A property should not be acquired solely because the treasury can afford its price if the remaining resources cannot support essential site work and a viable path to opening.</w:t>
      </w:r>
    </w:p>
    <w:p>
      <w:pPr>
        <w:pStyle w:val="Heading2"/>
      </w:pPr>
      <w:r>
        <w:t>4.3 NFT and other revenue</w:t>
      </w:r>
    </w:p>
    <w:p>
      <w:r>
        <w:t>If adopted, NFT primary sale proceeds and received secondary royalties would be recorded separately from token creator fees. Their treatment must be published before sale, including permitted production costs, marketplace deductions, taxes and any external creator splits. No collection sale is assumed in the baseline funding model.</w:t>
      </w:r>
    </w:p>
    <w:p>
      <w:r>
        <w:t>Voluntary donations, sponsorships, grants, merchandise and suitable adoption fees may later provide resilience. They should be reported as separate sources. The mission may remain creator-fee-led even if additional support reduces the risk of depending on one volatile channel.</w:t>
      </w:r>
    </w:p>
    <w:p>
      <w:pPr>
        <w:pStyle w:val="Heading2"/>
      </w:pPr>
      <w:r>
        <w:t>4.4 Proposed dedication of fees</w:t>
      </w:r>
    </w:p>
    <w:p>
      <w:r>
        <w:t>The proposed commitment is that all creator fees actually received by the designated UnStray fee recipient are dedicated to legitimate UnStray development and operations, including associated costs and required obligations. This does not mean 100 percent of transaction volume, 100 percent of a platform’s fees, or 100 percent of revenue is spent directly on treatment.</w:t>
      </w:r>
    </w:p>
    <w:p>
      <w:r>
        <w:t>The commitment should be formally adopted through the relevant entity, fee-routing arrangements and treasury policy before it is advertised as an enforceable promise. The project should disclose any exceptions and must not quietly treat the creator fee stream as personal income.</w:t>
      </w:r>
    </w:p>
    <w:p>
      <w:pPr>
        <w:pStyle w:val="Heading1"/>
      </w:pPr>
      <w:r>
        <w:t>5 Creator fee economics</w:t>
      </w:r>
    </w:p>
    <w:p>
      <w:pPr>
        <w:pStyle w:val="Heading2"/>
      </w:pPr>
      <w:r>
        <w:t>5.1 What generates income</w:t>
      </w:r>
    </w:p>
    <w:p>
      <w:r>
        <w:t>The effective creator rate is the proportion of eligible executed volume that ultimately becomes the project’s creator entitlement. It may be different from the total trading fee charged to users. Some fees may go to the platform, liquidity providers, referrers or other recipients. The venue’s published rules determine the actual share.</w:t>
      </w:r>
    </w:p>
    <w:p>
      <w:r>
        <w:t>Illustrative gross entitlement equals eligible volume multiplied by the effective creator rate. Received revenue may differ because of payout timing, eligibility, claim costs, conversion prices and platform deductions. Published reports should reconcile the formula to receipts rather than present an estimate as money already held.</w:t>
      </w:r>
    </w:p>
    <w:p>
      <w:pPr>
        <w:pStyle w:val="Heading2"/>
      </w:pPr>
      <w:r>
        <w:t>5.2 Revenue recognition</w:t>
      </w:r>
    </w:p>
    <w:p>
      <w:r>
        <w:t>The dashboard should distinguish estimated accrual, verified claimable balances and funds received. Estimated accrual is informational. Claimable balances are separately identified and excluded from spendable cash until collected. Received assets are recorded in their native units with transaction references and a documented valuation method.</w:t>
      </w:r>
    </w:p>
    <w:p>
      <w:r>
        <w:t>Unclaimed balances, trading volume, liquidity pool value and token market capitalization must not be added to the sanctuary’s available cash. Treasury transfers between project wallets must not be counted as new fundraising.</w:t>
      </w:r>
    </w:p>
    <w:p>
      <w:pPr>
        <w:pStyle w:val="Heading2"/>
      </w:pPr>
      <w:r>
        <w:t>5.3 Fee variability and migration</w:t>
      </w:r>
    </w:p>
    <w:p>
      <w:r>
        <w:t>Creator rates can depend on platform conditions and may change over time. Token migration from a launch environment to another pool may alter who receives fees or end a particular fee stream. The project must test the post-migration route, disclose any discontinuity and update revenue expectations when the actual mechanism changes.</w:t>
      </w:r>
    </w:p>
    <w:p>
      <w:r>
        <w:t>If the platform permits recipient changes, the authority controlling those changes must be disclosed and governed. A multisignature treasury does not protect future income if one uncontrolled key can redirect the fee source elsewhere.</w:t>
      </w:r>
    </w:p>
    <w:p>
      <w:pPr>
        <w:pStyle w:val="Heading2"/>
      </w:pPr>
      <w:r>
        <w:t>5.4 Trading and mission support</w:t>
      </w:r>
    </w:p>
    <w:p>
      <w:r>
        <w:t>Token trading involves the normal risks of speculative markets and may generate project revenue only where fees apply. People do not need to trade repeatedly to support UnStray. The project should avoid encouraging artificial volume, wash trading, coordinated price manipulation or misleading claims that trading is equivalent to a direct donation.</w:t>
      </w:r>
    </w:p>
    <w:p>
      <w:r>
        <w:t>Token purchase money normally goes to the selling counterparty or pool under the market mechanism. Only the designated creator portion follows the sanctuary funding route. Direct donations, if offered, need their own clearly labeled addresses and terms.</w:t>
      </w:r>
    </w:p>
    <w:p>
      <w:pPr>
        <w:pStyle w:val="Heading1"/>
      </w:pPr>
      <w:r>
        <w:t>6 Token design and launch disclosures</w:t>
      </w:r>
    </w:p>
    <w:p>
      <w:pPr>
        <w:pStyle w:val="Heading2"/>
      </w:pPr>
      <w:r>
        <w:t>6.1 Intended role</w:t>
      </w:r>
    </w:p>
    <w:p>
      <w:r>
        <w:t>The proposed token is a community participation asset associated with UnStray. It is not intended to confer ownership of sanctuary land, a claim on creator fees, dividends, guaranteed returns or rights to adopt an animal. The final legal characterization depends on actual design and marketing, not this description alone.</w:t>
      </w:r>
    </w:p>
    <w:p>
      <w:r>
        <w:t>Possible community features include supporter roles, polls, campaign participation and access to optional community events. Each feature should be marked as implemented, planned or exploratory. Public financial reporting and essential adoption information should remain available without buying a token.</w:t>
      </w:r>
    </w:p>
    <w:p>
      <w:pPr>
        <w:pStyle w:val="Heading2"/>
      </w:pPr>
      <w:r>
        <w:t>6.2 Parameters requiring confirmation</w:t>
      </w:r>
    </w:p>
    <w:p>
      <w:r>
        <w:t>Before launch, publish the total supply, decimals, mint address, token program, launch venue, fee mechanism, creator recipients, allocation schedule, liquidity arrangements and all relevant authorities. The public allocation table must account for the entire supply and distinguish sale or pool allocation, treasury holdings, founder and team holdings, incentives and any other category.</w:t>
      </w:r>
    </w:p>
    <w:p>
      <w:r>
        <w:t>No supply, founder percentage, team percentage, vesting period, transfer tax or fee rate is specified here. These are economic decisions requiring agreement and technical verification. Describing a launch as fair requires supporting facts about access, insider holdings, presales and allocation conditions.</w:t>
      </w:r>
    </w:p>
    <w:p>
      <w:pPr>
        <w:pStyle w:val="Heading2"/>
      </w:pPr>
      <w:r>
        <w:t>6.3 Authorities and special powers</w:t>
      </w:r>
    </w:p>
    <w:p>
      <w:r>
        <w:t>Disclose who can mint additional tokens, freeze accounts, update metadata, redirect fees, administer extensions or upgrade any related program. If an authority is revoked, provide verifiable evidence. Revocation should not be asserted until confirmed on-chain.</w:t>
      </w:r>
    </w:p>
    <w:p>
      <w:r>
        <w:t>If a token extension changes transfer behavior or fees, explain how wallets and exchanges support it, what can be changed later, and who has that power. Platform creator fees and token transfer fees are separate mechanisms and must not be conflated.</w:t>
      </w:r>
    </w:p>
    <w:p>
      <w:pPr>
        <w:pStyle w:val="Heading2"/>
      </w:pPr>
      <w:r>
        <w:t>6.4 Insider holdings and liquidity</w:t>
      </w:r>
    </w:p>
    <w:p>
      <w:r>
        <w:t>Founder, team and treasury wallets holding project tokens should be identified before trading begins, with applicable lockups and release schedules. Any treasury sale must be logged separately from creator-fee revenue so supporters can see whether the project is monetizing its own holdings.</w:t>
      </w:r>
    </w:p>
    <w:p>
      <w:r>
        <w:t>Liquidity disclosures should state the owner of each relevant position, withdrawal rights, lock or burn evidence if applicable, and conditions under which liquidity can move. Liquidity lock claims do not protect against all token risks and do not establish ownership of project funds.</w:t>
      </w:r>
    </w:p>
    <w:p>
      <w:pPr>
        <w:pStyle w:val="Heading2"/>
      </w:pPr>
      <w:r>
        <w:t>6.5 No automatic financial rewards</w:t>
      </w:r>
    </w:p>
    <w:p>
      <w:r>
        <w:t>This draft includes no holder dividend, revenue share, staking yield, buyback guarantee or price-support program. Adding any such mechanism later would materially change the economic design and require a new public explanation and legal assessment. Sanctuary funds should not be diverted into speculative token support without an explicitly disclosed and lawfully approved policy.</w:t>
      </w:r>
    </w:p>
    <w:p>
      <w:pPr>
        <w:pStyle w:val="Heading1"/>
      </w:pPr>
      <w:r>
        <w:t>7 Potential NFT collection NFT collection</w:t>
      </w:r>
    </w:p>
    <w:p>
      <w:pPr>
        <w:pStyle w:val="Heading2"/>
      </w:pPr>
      <w:r>
        <w:t>7.1 Collection concept</w:t>
      </w:r>
    </w:p>
    <w:p>
      <w:r>
        <w:t>The proposed collection uses unrevealed artwork followed by a reveal of dog or cat characters. Its purpose is to create a recognizable supporter collectible and tell the story of animals moving toward care and a home. NFT ownership is a digital collectible relationship, not ownership of a living animal or a promise of an adoption.</w:t>
      </w:r>
    </w:p>
    <w:p>
      <w:r>
        <w:t>The initial art can be fictional. Real rescue animals should be associated with later stories only when rescue work exists and records support the claims. Each connection should be labeled as fictional, inspired by a real animal, or linked to a documented animal case.</w:t>
      </w:r>
    </w:p>
    <w:p>
      <w:pPr>
        <w:pStyle w:val="Heading2"/>
      </w:pPr>
      <w:r>
        <w:t>7.2 Minting and unrevealed state</w:t>
      </w:r>
    </w:p>
    <w:p>
      <w:r>
        <w:t>Before purchase, publish the collection supply, mint price and currency, sale phases, reserved supply, maximum per wallet if any, reveal rules, revenue destination, rights granted and material dependencies. Buyers should be able to identify the verified collection rather than relying only on a name or image.</w:t>
      </w:r>
    </w:p>
    <w:p>
      <w:r>
        <w:t>Unrevealed assets could use a shared silhouette or tag design. The metadata should clearly mark the asset as unrevealed. Mint availability must be distinguished from reveal timing: acquiring an NFT does not mean a sanctuary milestone has already occurred.</w:t>
      </w:r>
    </w:p>
    <w:p>
      <w:pPr>
        <w:pStyle w:val="Heading2"/>
      </w:pPr>
      <w:r>
        <w:t>7.3 Reveal fairness</w:t>
      </w:r>
    </w:p>
    <w:p>
      <w:r>
        <w:t>The proposed design is to finalize the artwork and trait inventory before sale, publish a cryptographic commitment to the ordered reveal manifest, and use a publicly auditable randomness process to assign final artwork. A commitment alone does not prove unbiased assignment; the randomness source, timing, authority and assignment algorithm must also be documented.</w:t>
      </w:r>
    </w:p>
    <w:p>
      <w:r>
        <w:t>The implementation should prevent the team from selecting favorable assignments after seeing buyer addresses or randomness. Publish the reserved and team allocations before reveal. Test the process with a rehearsal collection and have an independent reviewer inspect the mechanism before accepting payments.</w:t>
      </w:r>
    </w:p>
    <w:p>
      <w:r>
        <w:t>Reveal should have a published maximum deadline and a fallback process for technical failure. Tying the only reveal to an uncertain land purchase could leave buyers waiting indefinitely. A better proposed design reveals the initial artwork on a defined schedule, while later optional artwork updates celebrate verified sanctuary milestones.</w:t>
      </w:r>
    </w:p>
    <w:p>
      <w:pPr>
        <w:pStyle w:val="Heading2"/>
      </w:pPr>
      <w:r>
        <w:t>7.4 Traits and rarity</w:t>
      </w:r>
    </w:p>
    <w:p>
      <w:r>
        <w:t>Traits may include species, coat patterns, markings, expressions, poses, clothing, accessories and environments. Dog and cat proportions and trait frequencies must be published before mint once finalized. Rarity should not be built around injury severity, starvation or other suffering.</w:t>
      </w:r>
    </w:p>
    <w:p>
      <w:r>
        <w:t>Rarity provides an art classification, not a guarantee of resale value. Artificial floor-price promises and undisclosed insider allocations should be excluded from the collection’s marketing.</w:t>
      </w:r>
    </w:p>
    <w:p>
      <w:pPr>
        <w:pStyle w:val="Heading2"/>
      </w:pPr>
      <w:r>
        <w:t>7.5 Optional evolution</w:t>
      </w:r>
    </w:p>
    <w:p>
      <w:r>
        <w:t>An optional art progression could move from Street to Recovery to Home. Two different systems must be kept distinct: a symbolic change reflecting project milestones, and an individual change reflecting a real animal’s verified journey. A sanctuary construction milestone must not be labeled as the adoption of every linked animal.</w:t>
      </w:r>
    </w:p>
    <w:p>
      <w:r>
        <w:t>If artwork can evolve, disclose who controls updates, which fields can change, whether holders may retain the original, and where prior versions are archived. An immutable NFT cannot later be updated without an applicable mechanism. Claims about permanence must match the actual authority and storage model.</w:t>
      </w:r>
    </w:p>
    <w:p>
      <w:pPr>
        <w:pStyle w:val="Heading2"/>
      </w:pPr>
      <w:r>
        <w:t>7.6 Technical standard and royalties</w:t>
      </w:r>
    </w:p>
    <w:p>
      <w:r>
        <w:t>Metaplex Core is a candidate standard rather than a finalized selection. Its documentation describes royalty percentages, creator splits and rulesets controlling program access. With no restrictions, royalties are advisory; enforcement designs depend on restricting access to compatible programs. Marketplace collection and distribution remain part of the practical payment process. [R1]</w:t>
      </w:r>
    </w:p>
    <w:p>
      <w:r>
        <w:t>The collection must publish its actual royalty configuration and supported marketplaces. A stated royalty percentage is not a guarantee that every transfer or resale produces income. Unsupported sales, private transfers, marketplace changes and collection configuration can affect receipts. Only royalties actually received should enter fundraising totals.</w:t>
      </w:r>
    </w:p>
    <w:p>
      <w:pPr>
        <w:pStyle w:val="Heading2"/>
      </w:pPr>
      <w:r>
        <w:t>7.7 Rights and limits</w:t>
      </w:r>
    </w:p>
    <w:p>
      <w:r>
        <w:t>Publish a plain-language art license defining display rights, permitted personal or commercial use, attribution, restrictions and how rights change on transfer. Buying the NFT does not automatically transfer copyright. Holders should also receive clear terms for failed mints, delayed reveal, metadata availability, complaints and any rights required by applicable law.</w:t>
      </w:r>
    </w:p>
    <w:p>
      <w:r>
        <w:t>NFT ownership should not give priority over animal welfare assessments, voting power over medical decisions or permission to access sensitive rescue records. Supporter benefits must not interfere with care or suitable adoption matching.</w:t>
      </w:r>
    </w:p>
    <w:p>
      <w:pPr>
        <w:pStyle w:val="Heading1"/>
      </w:pPr>
      <w:r>
        <w:t>8 Treasury custody and financial controls</w:t>
      </w:r>
    </w:p>
    <w:p>
      <w:pPr>
        <w:pStyle w:val="Heading2"/>
      </w:pPr>
      <w:r>
        <w:t>8.1 Treasury architecture</w:t>
      </w:r>
    </w:p>
    <w:p>
      <w:r>
        <w:t>The proposed custody structure is a multisignature treasury with separately controlled operational wallets. A target configuration is three approvals from five independent signers, subject to recruitment and legal authority. This is a proposed configuration, not a claim that a multisignature account currently exists.</w:t>
      </w:r>
    </w:p>
    <w:p>
      <w:r>
        <w:t>Signers should include operational knowledge, financial oversight and independent judgment. Multiple keys controlled by the same person do not provide independent protection. Publish the actual threshold, signer roles, conflicts of interest, recovery arrangements and the extent to which signer identities can be safely disclosed.</w:t>
      </w:r>
    </w:p>
    <w:p>
      <w:pPr>
        <w:pStyle w:val="Heading2"/>
      </w:pPr>
      <w:r>
        <w:t>8.2 Wallet roles</w:t>
      </w:r>
    </w:p>
    <w:p>
      <w:r>
        <w:t>The fee collection address receives platform distributions where needed. The main treasury stores reserves. A limited operating wallet handles routine costs. Separate earmarked wallets or accounting subledgers may track land, construction, animal care and contingency budgets. Wallet design should balance traceability with manageable administration.</w:t>
      </w:r>
    </w:p>
    <w:p>
      <w:r>
        <w:t>Every official address should be published through the website and verified social channels, including chain, role and effective date. Deprecated addresses should remain in the public history with an explanation of where remaining balances moved.</w:t>
      </w:r>
    </w:p>
    <w:p>
      <w:pPr>
        <w:pStyle w:val="Heading2"/>
      </w:pPr>
      <w:r>
        <w:t>8.3 Authorization and payments</w:t>
      </w:r>
    </w:p>
    <w:p>
      <w:r>
        <w:t>Routine expenses require an approved budget, supporting record and authorized payment. Material or exceptional payments require documented review outside the requesting person’s sole control. Publish spending thresholds before operations rather than inventing them after a controversial payment.</w:t>
      </w:r>
    </w:p>
    <w:p>
      <w:r>
        <w:t>For large purchases, use written contracts, supplier verification, competing quotes where practical and staged payments linked to delivery. Land acquisition and major construction should receive independent professional review. Emergency veterinary expenses may use a limited delegation, with prompt documentation and later oversight.</w:t>
      </w:r>
    </w:p>
    <w:p>
      <w:pPr>
        <w:pStyle w:val="Heading2"/>
      </w:pPr>
      <w:r>
        <w:t>8.4 Conversion into usable money</w:t>
      </w:r>
    </w:p>
    <w:p>
      <w:r>
        <w:t>The proposed default is to convert most received volatile revenue promptly into assets suitable for upcoming obligations and reserves. The exact cadence, retained SOL for fees and approved conversion counterparties must be published. The project should avoid waiting for a speculative price target before securing essential care funds.</w:t>
      </w:r>
    </w:p>
    <w:p>
      <w:r>
        <w:t>Stablecoins carry issuer, depegging, freeze, liquidity and redemption risks. Bank balances carry banking and operational risks. Near-term local obligations should be matched with usable local-currency funds when practical. No reserve asset should be described as risk-free.</w:t>
      </w:r>
    </w:p>
    <w:p>
      <w:r>
        <w:t>Record the source transaction, asset units, conversion time, venue, exchange rate, costs, destination and local-currency proceeds. Compare the conversion outcome with the valuation at receipt so market gains or losses do not appear as new creator fees.</w:t>
      </w:r>
    </w:p>
    <w:p>
      <w:pPr>
        <w:pStyle w:val="Heading2"/>
      </w:pPr>
      <w:r>
        <w:t>8.5 Key and access security</w:t>
      </w:r>
    </w:p>
    <w:p>
      <w:r>
        <w:t>Use hardware-backed signing where suitable, separate device and account access, offline recovery procedures and least-privilege administration. Treasury signers should verify destination, amount and transaction instructions independently before approval. Blind signing and signatures requested through social messages should be prohibited by policy.</w:t>
      </w:r>
    </w:p>
    <w:p>
      <w:r>
        <w:t>Maintain a tested response process for compromised wallets, domains and social accounts. It should cover revoking access, replacing signers, pausing relevant services, notifying the public through verified channels and reconciling affected balances. Replacement of a key must not silently change who owns the funds.</w:t>
      </w:r>
    </w:p>
    <w:p>
      <w:pPr>
        <w:pStyle w:val="Heading2"/>
      </w:pPr>
      <w:r>
        <w:t>8.6 Accounting and segregation</w:t>
      </w:r>
    </w:p>
    <w:p>
      <w:r>
        <w:t>The accounting system must reconcile blockchain activity with bank statements, invoices, payroll and cash records. Transfers among project accounts are movements, not revenue or expense by themselves. Budget earmarks are allocations, not money spent.</w:t>
      </w:r>
    </w:p>
    <w:p>
      <w:r>
        <w:t>Personal funds and project funds must be separated. Founder reimbursements require evidence, an approved purpose and independent review. Compensation and related-party payments should be published by role and category, with sensitive personal information redacted.</w:t>
      </w:r>
    </w:p>
    <w:p>
      <w:pPr>
        <w:pStyle w:val="Heading1"/>
      </w:pPr>
      <w:r>
        <w:t>9 Allocation and spending priorities</w:t>
      </w:r>
    </w:p>
    <w:p>
      <w:pPr>
        <w:pStyle w:val="Heading2"/>
      </w:pPr>
      <w:r>
        <w:t>9.1 Capital and operations</w:t>
      </w:r>
    </w:p>
    <w:p>
      <w:r>
        <w:t>Capital spending creates or improves long-lived assets such as land, buildings, vehicles and equipment. Operating spending keeps the sanctuary working, including food, wages, treatment, utilities, cleaning, repairs, transport and reporting. Both serve the mission, but their accounting and funding needs differ.</w:t>
      </w:r>
    </w:p>
    <w:p>
      <w:r>
        <w:t>The budget should also recognize compliance, fundraising administration, website services and professional fees. Concealing these costs to advertise an unrealistic direct-care ratio makes the project harder to assess.</w:t>
      </w:r>
    </w:p>
    <w:p>
      <w:pPr>
        <w:pStyle w:val="Heading2"/>
      </w:pPr>
      <w:r>
        <w:t>9.2 Proposed priority order</w:t>
      </w:r>
    </w:p>
    <w:p>
      <w:r>
        <w:t>When animals are already in care, essential welfare, staff safety and lawful obligations take precedence. The next priority is maintaining the operating reserve and paying committed costs. Remaining available funds support approved capital milestones. Expansion and optional promotional work follow only when those needs are covered.</w:t>
      </w:r>
    </w:p>
    <w:p>
      <w:r>
        <w:t>Before opening, permitted spending focuses on formation, technical setup, due diligence and staged development. Costs should be capped through approved budgets so the preparation phase does not consume the capital needed for the sanctuary itself.</w:t>
      </w:r>
    </w:p>
    <w:p>
      <w:pPr>
        <w:pStyle w:val="Heading2"/>
      </w:pPr>
      <w:r>
        <w:t>9.3 Reserve policy</w:t>
      </w:r>
    </w:p>
    <w:p>
      <w:r>
        <w:t>The proposed operating reserve target is twelve months of conservative essential operating expenditure at the approved intake capacity, excluding uncollected fees and illiquid project tokens. This target requires adoption and periodic review. A separate emergency provision should cover plausible veterinary and infrastructure shocks without double-counting the same cash.</w:t>
      </w:r>
    </w:p>
    <w:p>
      <w:r>
        <w:t>Expansion should pause when available unrestricted resources fall below the approved reserve target. Falling below six months of essential expenditure is a proposed escalation trigger for stricter cost controls, reduced intake and a published recovery plan. These thresholds are planning rules, not a claim that current reserves exist.</w:t>
      </w:r>
    </w:p>
    <w:p>
      <w:pPr>
        <w:pStyle w:val="Heading2"/>
      </w:pPr>
      <w:r>
        <w:t>9.4 Discretion and changes</w:t>
      </w:r>
    </w:p>
    <w:p>
      <w:r>
        <w:t>Allocations should follow current needs rather than an arbitrary permanent percentage split. Each reporting period should publish the allocation decision and why it was made. Material movement of restricted funds requires compliance with the original terms and applicable law; a community poll cannot erase those obligations.</w:t>
      </w:r>
    </w:p>
    <w:p>
      <w:pPr>
        <w:pStyle w:val="Heading1"/>
      </w:pPr>
      <w:r>
        <w:t>10 Sanctuary development budget</w:t>
      </w:r>
    </w:p>
    <w:p>
      <w:pPr>
        <w:pStyle w:val="Heading2"/>
      </w:pPr>
      <w:r>
        <w:t>10.1 Budget approach</w:t>
      </w:r>
    </w:p>
    <w:p>
      <w:r>
        <w:t>There is no verified total project cost in this draft. Land, construction standards, utilities, veterinary scope, initial capacity and local quotations have not been finalized. The budget should be developed from a written operating plan and itemized quotations, with the date, currency, tax treatment and exclusions clearly stated.</w:t>
      </w:r>
    </w:p>
    <w:p>
      <w:r>
        <w:t>If a one-acre property remains the working brief, it represents approximately 4,047 square meters. That is a search criterion, not proof of suitability. Usable space may be reduced by setbacks, easements, drainage, access, slope and service infrastructure. A welfare-led layout and approvals determine capacity.</w:t>
      </w:r>
    </w:p>
    <w:p>
      <w:pPr>
        <w:pStyle w:val="Heading2"/>
      </w:pPr>
      <w:r>
        <w:t>10.2 Acquisition costs</w:t>
      </w:r>
    </w:p>
    <w:p>
      <w:r>
        <w:t>The land budget includes price, legal review, survey, title checks, valuation, applicable taxes and transfer charges, registration, access rights and any necessary lawful land-use work. The headline property price should never be presented as the complete acquisition cost.</w:t>
      </w:r>
    </w:p>
    <w:p>
      <w:pPr>
        <w:pStyle w:val="Heading2"/>
      </w:pPr>
      <w:r>
        <w:t>10.3 Site and buildings</w:t>
      </w:r>
    </w:p>
    <w:p>
      <w:r>
        <w:t>Site preparation includes surveying, drainage, grading, fencing, controlled entrances, water supply, wastewater arrangements, power, communications and safe access. Buildings include dog housing, cat housing, quarantine, isolation, treatment facilities, adoption and administration spaces, storage and staff facilities.</w:t>
      </w:r>
    </w:p>
    <w:p>
      <w:r>
        <w:t>Each package should have a scope of work, quantity assumptions, contractor terms, contingency and delivery criteria. Optional amenities should be distinguished from requirements for safe opening. Local climate, flood and storm risks should shape engineering rather than be treated as a late addition.</w:t>
      </w:r>
    </w:p>
    <w:p>
      <w:pPr>
        <w:pStyle w:val="Heading2"/>
      </w:pPr>
      <w:r>
        <w:t>10.4 Equipment and launch inventory</w:t>
      </w:r>
    </w:p>
    <w:p>
      <w:r>
        <w:t>Equipment may include kennels and enclosures, washable bedding, feeding systems, cleaning tools, scales, transport crates, animal handling equipment, refrigerators where needed, office systems, security systems and veterinary equipment suited to the clinic’s approved scope. Major surgeries may initially be outsourced rather than assuming a fully equipped surgical hospital at opening.</w:t>
      </w:r>
    </w:p>
    <w:p>
      <w:r>
        <w:t>Launch inventory includes food, cleaning supplies, protective equipment and veterinary stock selected by qualified personnel. Expiry dates, storage requirements and replenishment costs must be budgeted.</w:t>
      </w:r>
    </w:p>
    <w:p>
      <w:pPr>
        <w:pStyle w:val="Heading2"/>
      </w:pPr>
      <w:r>
        <w:t>10.5 People and working capital</w:t>
      </w:r>
    </w:p>
    <w:p>
      <w:r>
        <w:t>Pre-opening recruitment, training, testing and payroll can arise before the first adoption. The budget must include those costs, continuing essential expenditure and reserve funding. Staff availability and veterinary coverage can limit opening capacity even if buildings are complete.</w:t>
      </w:r>
    </w:p>
    <w:p>
      <w:pPr>
        <w:pStyle w:val="Heading2"/>
      </w:pPr>
      <w:r>
        <w:t>10.6 Required budget fields</w:t>
      </w:r>
    </w:p>
    <w:p>
      <w:r>
        <w:t>For each cost item, record its identifier, category, description, quantity, unit cost, total, currency, tax basis, quotation date, supplier, funding restriction, contingency and approval status. Show estimated, contracted, paid and remaining amounts separately. A purchase order is a commitment even when the payment has not yet left the account.</w:t>
      </w:r>
    </w:p>
    <w:p>
      <w:r>
        <w:t>Budget updates should explain scope changes, currency effects, quantity changes and price differences. Progress bars must use a dated cost target and distinguish the cash allocated from the physical work completed.</w:t>
      </w:r>
    </w:p>
    <w:p>
      <w:pPr>
        <w:pStyle w:val="Heading1"/>
      </w:pPr>
      <w:r>
        <w:t>11 Land purchase and asset protection</w:t>
      </w:r>
    </w:p>
    <w:p>
      <w:pPr>
        <w:pStyle w:val="Heading2"/>
      </w:pPr>
      <w:r>
        <w:t>11.1 Confidential selection</w:t>
      </w:r>
    </w:p>
    <w:p>
      <w:r>
        <w:t>Candidate properties and exact locations remain undisclosed before purchase. Public reports can still show the approved acquisition envelope, diligence spending, review stage and decision criteria without revealing parcels or sellers. An independent reviewer should be able to examine the unredacted evidence confidentially.</w:t>
      </w:r>
    </w:p>
    <w:p>
      <w:r>
        <w:t>Location confidentiality should not hide the organization receiving money, the authority approving purchase or the proposed ownership structure. Those matters affect supporter accountability before the property is bought.</w:t>
      </w:r>
    </w:p>
    <w:p>
      <w:pPr>
        <w:pStyle w:val="Heading2"/>
      </w:pPr>
      <w:r>
        <w:t>11.2 Suitability review</w:t>
      </w:r>
    </w:p>
    <w:p>
      <w:r>
        <w:t>Review title and seller authority, encumbrances, survey boundaries, physical access, easements, zoning, permissible use, utilities, drainage, wastewater, environmental constraints and disaster exposure. Confirm that the site can accommodate separated care areas and safe transport access without causing avoidable neighbor conflicts.</w:t>
      </w:r>
    </w:p>
    <w:p>
      <w:r>
        <w:t>The diligence process must verify applicable local requirements for animal facilities and construction. A cheap parcel may become expensive or unusable if it lacks access, drainage or lawful development rights.</w:t>
      </w:r>
    </w:p>
    <w:p>
      <w:pPr>
        <w:pStyle w:val="Heading2"/>
      </w:pPr>
      <w:r>
        <w:t>11.3 Lawful ownership</w:t>
      </w:r>
    </w:p>
    <w:p>
      <w:r>
        <w:t>Philippine constitutional rules restrict private land ownership. The landholding structure must be reviewed by qualified local counsel before committing funds. A foreign founder’s involvement or marriage to a Filipino citizen does not by itself establish project ownership or remove the need for a lawful structure. [R4]</w:t>
      </w:r>
    </w:p>
    <w:p>
      <w:r>
        <w:t>Do not use an informal nominee arrangement to suggest the project owns land when title belongs to someone else without adequate lawful protections. Publish the legal titleholder, relationship to UnStray, source of purchase funds, operating rights, governance protections and consequences of sale, separation, death or dissolution. Asset dedication must be enforceable through appropriate legal documents rather than only a social post.</w:t>
      </w:r>
    </w:p>
    <w:p>
      <w:pPr>
        <w:pStyle w:val="Heading2"/>
      </w:pPr>
      <w:r>
        <w:t>11.4 Purchase gate</w:t>
      </w:r>
    </w:p>
    <w:p>
      <w:r>
        <w:t>Purchase should proceed only after independent title and suitability review, lawful ownership confirmation, an approved all-in acquisition budget, sufficient settled funds and a credible funded next stage. The project should avoid commitments that depend on future volume arriving before closing.</w:t>
      </w:r>
    </w:p>
    <w:p>
      <w:pPr>
        <w:pStyle w:val="Heading2"/>
      </w:pPr>
      <w:r>
        <w:t>11.5 Disclosure after completion</w:t>
      </w:r>
    </w:p>
    <w:p>
      <w:r>
        <w:t>After purchase, publish the location at an appropriate level, purchase completion date, area, price, associated costs, titleholder, use rights and redacted proof. Include transaction links where crypto funds were converted and a reconciliation to the actual purchase payments. Clearly distinguish completed ownership transfer from a deposit, reservation or signed agreement awaiting registration.</w:t>
      </w:r>
    </w:p>
    <w:p>
      <w:r>
        <w:t>Personal identifiers, signatures, account numbers, security layouts and legally sensitive details may be redacted. The public should still be able to verify the central facts, with an independent professional’s confirmation where necessary.</w:t>
      </w:r>
    </w:p>
    <w:p>
      <w:pPr>
        <w:pStyle w:val="Heading1"/>
      </w:pPr>
      <w:r>
        <w:t>12 Sanctuary design and construction</w:t>
      </w:r>
    </w:p>
    <w:p>
      <w:pPr>
        <w:pStyle w:val="Heading2"/>
      </w:pPr>
      <w:r>
        <w:t>12.1 Functional separation</w:t>
      </w:r>
    </w:p>
    <w:p>
      <w:r>
        <w:t>Dog and cat sections should be physically separated and designed for their different behavioral needs. Dog spaces require safe enclosures, compatible groupings, resting areas and exercise access. Cat spaces require escape prevention, hiding opportunities, vertical space, quiet areas and suitable separation for incompatible or vulnerable animals.</w:t>
      </w:r>
    </w:p>
    <w:p>
      <w:r>
        <w:t>Quarantine for new arrivals and isolation for suspected infectious cases must be planned separately from healthy housing. Clinical protocols determine their use. Separate tools, workflows and staff routines reduce the risk of moving contamination across care areas.</w:t>
      </w:r>
    </w:p>
    <w:p>
      <w:pPr>
        <w:pStyle w:val="Heading2"/>
      </w:pPr>
      <w:r>
        <w:t>12.2 Veterinary and adoption facilities</w:t>
      </w:r>
    </w:p>
    <w:p>
      <w:r>
        <w:t>The veterinary area should support assessment and the treatment scope approved for the operation. External clinics can provide services beyond that scope. Equipment and staffing claims should reflect the actual capability rather than describe a room as a full veterinary hospital.</w:t>
      </w:r>
    </w:p>
    <w:p>
      <w:r>
        <w:t>The adoption area should enable calm introductions, private conversations and safe visitor flow. Public access should not pass unnecessarily through quarantine or clinical zones. Animal transport, food deliveries and waste removal need their own practical routes.</w:t>
      </w:r>
    </w:p>
    <w:p>
      <w:pPr>
        <w:pStyle w:val="Heading2"/>
      </w:pPr>
      <w:r>
        <w:t>12.3 Infrastructure</w:t>
      </w:r>
    </w:p>
    <w:p>
      <w:r>
        <w:t>Design for ventilation, shade, safe drinking water, cleanable surfaces, drainage, pest control and secure food storage. Wastewater and clinical waste arrangements require proper planning and approvals. Backup water, power and communications should be assessed according to the site’s risks and the needs of animals in care.</w:t>
      </w:r>
    </w:p>
    <w:p>
      <w:r>
        <w:t>Include fire and evacuation planning, storm sheltering, safe exits, transport staging and secure perimeter maintenance. Noise control, visitor rules and cleaning hours should be considered in neighbor relations.</w:t>
      </w:r>
    </w:p>
    <w:p>
      <w:pPr>
        <w:pStyle w:val="Heading2"/>
      </w:pPr>
      <w:r>
        <w:t>12.4 Construction management</w:t>
      </w:r>
    </w:p>
    <w:p>
      <w:r>
        <w:t>Use staged contracts with defined scope, evidence of completion, defect handling and approval responsibility. Record change orders before additional work proceeds, except documented emergencies. Payments should follow verified delivery rather than promotional deadlines.</w:t>
      </w:r>
    </w:p>
    <w:p>
      <w:r>
        <w:t>The minimum safe opening facility should include secure housing, disease-control space, water, waste management, staffing, veterinary access and working capital. Additional accommodation can open in phases after the first section operates safely.</w:t>
      </w:r>
    </w:p>
    <w:p>
      <w:pPr>
        <w:pStyle w:val="Heading1"/>
      </w:pPr>
      <w:r>
        <w:t>13 Rescue and animal care</w:t>
      </w:r>
    </w:p>
    <w:p>
      <w:pPr>
        <w:pStyle w:val="Heading2"/>
      </w:pPr>
      <w:r>
        <w:t>13.1 Referral and triage</w:t>
      </w:r>
    </w:p>
    <w:p>
      <w:r>
        <w:t>Reports should be assessed for urgency, location access, legal custody, possible ownership, handling risk and available capacity. Staff should coordinate with appropriate local services and authorized partners where seizure, cruelty investigation or ownership disputes are involved. UnStray should not imply enforcement powers it has not been granted.</w:t>
      </w:r>
    </w:p>
    <w:p>
      <w:r>
        <w:t>Emergency triage may identify cases requiring immediate external veterinary attention rather than transport to an unfinished or unsuitable facility. Declined or deferred cases should receive practical referrals where available, with the reason recorded.</w:t>
      </w:r>
    </w:p>
    <w:p>
      <w:pPr>
        <w:pStyle w:val="Heading2"/>
      </w:pPr>
      <w:r>
        <w:t>13.2 Intake records</w:t>
      </w:r>
    </w:p>
    <w:p>
      <w:r>
        <w:t>Each admitted animal receives a unique internal identifier, intake date, source, custody status, initial assessment, photographs when appropriate, housing assignment and care plan. Search for an existing owner through appropriate identification and local procedures before treating an animal as available for adoption.</w:t>
      </w:r>
    </w:p>
    <w:p>
      <w:r>
        <w:t>Public stories use a limited profile; the internal record includes clinical and operational details needed for care. An animal’s public nickname should not replace the identifier used to reconcile outcomes and spending.</w:t>
      </w:r>
    </w:p>
    <w:p>
      <w:pPr>
        <w:pStyle w:val="Heading2"/>
      </w:pPr>
      <w:r>
        <w:t>13.3 Veterinary assessment</w:t>
      </w:r>
    </w:p>
    <w:p>
      <w:r>
        <w:t>Qualified personnel determine examination, diagnostics, parasite control, vaccination, sterilization, pain management and treatment appropriate to each case. This whitepaper does not prescribe medication, quarantine duration or clinical protocols. Those belong in veterinarian-approved operating procedures.</w:t>
      </w:r>
    </w:p>
    <w:p>
      <w:r>
        <w:t>Daily observations should record appetite, drinking, elimination, mobility, behavior and signs of illness. Medication logs should identify the animal, prescriber, administration and follow-up. Missed doses and deterioration require escalation rather than retrospective editing to make the record look complete.</w:t>
      </w:r>
    </w:p>
    <w:p>
      <w:pPr>
        <w:pStyle w:val="Heading2"/>
      </w:pPr>
      <w:r>
        <w:t>13.4 Daily husbandry</w:t>
      </w:r>
    </w:p>
    <w:p>
      <w:r>
        <w:t>Feeding and care should reflect age, condition, species and individual needs. Cleaning procedures must maintain hygiene while reducing stress and avoiding cross-contamination. Exercise, enrichment and social interaction should be adapted to the animal and its stage of recovery.</w:t>
      </w:r>
    </w:p>
    <w:p>
      <w:r>
        <w:t>Staff should record welfare concerns and workload constraints. The care plan should be revised when the animal’s needs change, rather than assuming every animal follows a fixed timetable.</w:t>
      </w:r>
    </w:p>
    <w:p>
      <w:pPr>
        <w:pStyle w:val="Heading2"/>
      </w:pPr>
      <w:r>
        <w:t>13.5 Disease and incident response</w:t>
      </w:r>
    </w:p>
    <w:p>
      <w:r>
        <w:t>Maintain protocols for infectious disease suspicion, bites, escapes, injury, fire, extreme weather and human exposure incidents. Isolation capacity, veterinary contacts, reporting routes and supplies must be available before intake begins. Protect staff and volunteers through training and appropriate occupational health measures.</w:t>
      </w:r>
    </w:p>
    <w:p>
      <w:r>
        <w:t>Public communication about outbreaks should explain affected operations and response without releasing sensitive records or overstating certainty. Rescue content must never take priority over containment and treatment.</w:t>
      </w:r>
    </w:p>
    <w:p>
      <w:pPr>
        <w:pStyle w:val="Heading1"/>
      </w:pPr>
      <w:r>
        <w:t>14 Rehabilitation and adoption</w:t>
      </w:r>
    </w:p>
    <w:p>
      <w:pPr>
        <w:pStyle w:val="Heading2"/>
      </w:pPr>
      <w:r>
        <w:t>14.1 Rehabilitation</w:t>
      </w:r>
    </w:p>
    <w:p>
      <w:r>
        <w:t>Behavioral support should help animals develop security, confidence and practical skills for home life. Use appropriate humane methods and refer complex cases to qualified professionals. Avoid promises that every behavioral issue can be solved quickly or that a visual transformation proves full recovery.</w:t>
      </w:r>
    </w:p>
    <w:p>
      <w:r>
        <w:t>Progress records should include medical stability, behavior, handling tolerance, compatibility and ongoing support needs. An animal may be healthy but still need a specific home environment or further rehabilitation.</w:t>
      </w:r>
    </w:p>
    <w:p>
      <w:pPr>
        <w:pStyle w:val="Heading2"/>
      </w:pPr>
      <w:r>
        <w:t>14.2 Adoption readiness</w:t>
      </w:r>
    </w:p>
    <w:p>
      <w:r>
        <w:t>Readiness is an individual decision based on legal custody, health assessment, treatment status, behavioral information and a suitable placement plan. Relevant conditions and foreseeable care needs should be disclosed to potential adopters. Staff should not conceal issues to accelerate placement.</w:t>
      </w:r>
    </w:p>
    <w:p>
      <w:pPr>
        <w:pStyle w:val="Heading2"/>
      </w:pPr>
      <w:r>
        <w:t>14.3 Matching and handover</w:t>
      </w:r>
    </w:p>
    <w:p>
      <w:r>
        <w:t>The proposed process includes application, discussion of household and care capacity, appropriate verification, introductions, adoption agreement and a documented handover. Checks should be proportionate, respectful and consistent. The adopter’s token holdings or NFT rarity should not influence welfare decisions.</w:t>
      </w:r>
    </w:p>
    <w:p>
      <w:r>
        <w:t>Provide care guidance, clinical records appropriate for the adopter, identification information and agreed follow-up. Trial arrangements, adoption fees, returns and post-adoption support must be defined in written terms. Fees should be transparent and should not turn the sanctuary into a breeding or trading business.</w:t>
      </w:r>
    </w:p>
    <w:p>
      <w:pPr>
        <w:pStyle w:val="Heading2"/>
      </w:pPr>
      <w:r>
        <w:t>14.4 Returns and long-term care</w:t>
      </w:r>
    </w:p>
    <w:p>
      <w:r>
        <w:t>A responsible program needs a return process and support when a placement fails. Record returns openly and distinguish gross adoptions from animals still placed at a stated follow-up point. Repeated placement attempts should be guided by the animal’s needs.</w:t>
      </w:r>
    </w:p>
    <w:p>
      <w:r>
        <w:t>Some animals may require permanent or extended care. Long-term capacity should be budgeted rather than assuming all animals exit quickly. When resources become constrained, coordinated transfers to qualified partners may be necessary, with records showing the receiving organization and continuing care arrangements.</w:t>
      </w:r>
    </w:p>
    <w:p>
      <w:pPr>
        <w:pStyle w:val="Heading1"/>
      </w:pPr>
      <w:r>
        <w:t>15 Staffing and operational readiness</w:t>
      </w:r>
    </w:p>
    <w:p>
      <w:pPr>
        <w:pStyle w:val="Heading2"/>
      </w:pPr>
      <w:r>
        <w:t>15.1 Required functions</w:t>
      </w:r>
    </w:p>
    <w:p>
      <w:r>
        <w:t>The project needs operational leadership, animal care staff, veterinary coverage, rehabilitation capability, adoption coordination, maintenance, transport, financial administration and technical communications. Several functions may initially be combined, but legal competence, workload and independence requirements still apply.</w:t>
      </w:r>
    </w:p>
    <w:p>
      <w:r>
        <w:t>Volunteers can support trained staff but should not be the only basis for daily feeding, disease control or clinical supervision. Publish the actual team when appointed and distinguish employees, contractors, volunteers and advisers.</w:t>
      </w:r>
    </w:p>
    <w:p>
      <w:pPr>
        <w:pStyle w:val="Heading2"/>
      </w:pPr>
      <w:r>
        <w:t>15.2 Training and safeguards</w:t>
      </w:r>
    </w:p>
    <w:p>
      <w:r>
        <w:t>Training should cover species-specific handling, cleaning, disease-control workflow, bite and escape response, recordkeeping, visitor supervision and reporting of welfare concerns. Work schedules need sufficient coverage, rest and escalation routes. Sensitive tasks require authorization and competence rather than enthusiasm alone.</w:t>
      </w:r>
    </w:p>
    <w:p>
      <w:r>
        <w:t>Adopt a conflict-of-interest policy, confidential concern-reporting route, visitor policy and rules for handling cash, medicines and keys. Staff and volunteer data should be protected while their responsibilities remain clear.</w:t>
      </w:r>
    </w:p>
    <w:p>
      <w:pPr>
        <w:pStyle w:val="Heading2"/>
      </w:pPr>
      <w:r>
        <w:t>15.3 Opening review</w:t>
      </w:r>
    </w:p>
    <w:p>
      <w:r>
        <w:t>Before intake, complete a documented readiness review of facilities, permits, staffing, veterinary agreements, supplies, record systems, incident procedures and reserves. Test transport, access controls, cleaning flow and emergency communication. The public opening announcement should state the approved capacity and services actually available.</w:t>
      </w:r>
    </w:p>
    <w:p>
      <w:pPr>
        <w:pStyle w:val="Heading1"/>
      </w:pPr>
      <w:r>
        <w:t>16 Transparency and public reporting</w:t>
      </w:r>
    </w:p>
    <w:p>
      <w:pPr>
        <w:pStyle w:val="Heading2"/>
      </w:pPr>
      <w:r>
        <w:t>16.1 Core reporting promise</w:t>
      </w:r>
    </w:p>
    <w:p>
      <w:r>
        <w:t>UnStray intends to document funding and development through its website and social channels. The website should be the durable source of record, with social posts linking to the relevant report or evidence. A timeline of photos alone is not a substitute for financial reconciliation.</w:t>
      </w:r>
    </w:p>
    <w:p>
      <w:r>
        <w:t>The proposed cadence is ongoing transaction visibility where technically available, monthly treasury and expenditure reports, milestone reports when work completes, and an annual financial and impact review. Delays should be announced with a reason and revised date.</w:t>
      </w:r>
    </w:p>
    <w:p>
      <w:pPr>
        <w:pStyle w:val="Heading2"/>
      </w:pPr>
      <w:r>
        <w:t>16.2 Monthly financial report</w:t>
      </w:r>
    </w:p>
    <w:p>
      <w:r>
        <w:t>Report opening balances, creator fees received, NFT proceeds, royalties, other revenue, conversions, spending by category, transfers, liabilities, restricted balances and closing balances. Show native asset units alongside a consistent reporting currency. State valuation dates, methodology and any unresolved differences.</w:t>
      </w:r>
    </w:p>
    <w:p>
      <w:r>
        <w:t>Publish commitments and unrestricted runway as well as wallet balances. A treasury can appear well funded while most cash is owed to contractors or restricted to a specific purpose. Liquid assets, outstanding obligations and usable reserves must be visible together.</w:t>
      </w:r>
    </w:p>
    <w:p>
      <w:pPr>
        <w:pStyle w:val="Heading2"/>
      </w:pPr>
      <w:r>
        <w:t>16.3 Evidence chain</w:t>
      </w:r>
    </w:p>
    <w:p>
      <w:r>
        <w:t>Every material expenditure should connect a budget identifier, approval, invoice or contract, payment record and evidence of delivery. For crypto-to-bank payments, the on-chain transaction establishes a transfer to an intermediary; bank records and receipts establish the final use. Blockchain activity alone does not prove a supplier completed work or title transferred.</w:t>
      </w:r>
    </w:p>
    <w:p>
      <w:r>
        <w:t>The public evidence register should identify what each document proves, what is redacted and who verified the underlying record. Photographs should be dated and connected to the specific milestone. Generic construction photos should not be presented as evidence of UnStray work.</w:t>
      </w:r>
    </w:p>
    <w:p>
      <w:pPr>
        <w:pStyle w:val="Heading2"/>
      </w:pPr>
      <w:r>
        <w:t>16.4 Independent review</w:t>
      </w:r>
    </w:p>
    <w:p>
      <w:r>
        <w:t>Arrange bookkeeping and independent financial review appropriate to the scale of funds. Publish the reviewer, scope, reporting period, findings and limitations. Use the term audit only when an actual audit engagement and report support it. A dashboard review or accountant’s reconciliation is not automatically an audit.</w:t>
      </w:r>
    </w:p>
    <w:p>
      <w:pPr>
        <w:pStyle w:val="Heading2"/>
      </w:pPr>
      <w:r>
        <w:t>16.5 Corrections and privacy</w:t>
      </w:r>
    </w:p>
    <w:p>
      <w:r>
        <w:t>Maintain an accessible corrections log with the original claim, correction date, reason and affected figures. Do not silently remove unfavorable results or rewrite prior reports. Protect adopters, staff, donors and confidential clinical information through limited publication and documented access controls.</w:t>
      </w:r>
    </w:p>
    <w:p>
      <w:r>
        <w:t>Location disclosure after purchase does not require publishing security plans, private residential addresses or access details that could put animals and people at risk.</w:t>
      </w:r>
    </w:p>
    <w:p>
      <w:pPr>
        <w:pStyle w:val="Heading1"/>
      </w:pPr>
      <w:r>
        <w:t>17 Website and technical architecture</w:t>
      </w:r>
    </w:p>
    <w:p>
      <w:pPr>
        <w:pStyle w:val="Heading2"/>
      </w:pPr>
      <w:r>
        <w:t>17.1 Public website</w:t>
      </w:r>
    </w:p>
    <w:p>
      <w:r>
        <w:t>The proposed website includes the mission, current project status, verified token and collection identifiers, treasury dashboard, build tracker, financial reports, rescue stories, adoption information, official contact channels and complaints process. Participation should remain understandable to visitors who do not use crypto.</w:t>
      </w:r>
    </w:p>
    <w:p>
      <w:r>
        <w:t>Clearly distinguish planning, fundraising, property acquisition, construction and live operations. Do not display sample rescued animals, example balances or mock construction milestones as real activity.</w:t>
      </w:r>
    </w:p>
    <w:p>
      <w:pPr>
        <w:pStyle w:val="Heading2"/>
      </w:pPr>
      <w:r>
        <w:t>17.2 Treasury data system</w:t>
      </w:r>
    </w:p>
    <w:p>
      <w:r>
        <w:t>Index relevant Solana addresses through a suitable data provider and reconcile claims and distributions with the actual platform mechanism. The system needs deduplication, finality handling, retry logic, clear asset identifiers and controls against counting internal transfers twice.</w:t>
      </w:r>
    </w:p>
    <w:p>
      <w:r>
        <w:t>Separate raw transaction records from classified accounting entries. Each classification should retain its source and review status. A manual correction must leave an audit trail. Fiat payments require imported or entered records and cannot be inferred from a Solana wallet.</w:t>
      </w:r>
    </w:p>
    <w:p>
      <w:pPr>
        <w:pStyle w:val="Heading2"/>
      </w:pPr>
      <w:r>
        <w:t>17.3 Dashboard freshness and availability</w:t>
      </w:r>
    </w:p>
    <w:p>
      <w:r>
        <w:t>Display the latest successful update, reporting cutoff, data source and reconciliation status. If a feed fails, show a stale-data message rather than a zero balance or invented estimate. Preserve downloadable monthly reports so visitors can assess the project even during a dashboard outage.</w:t>
      </w:r>
    </w:p>
    <w:p>
      <w:pPr>
        <w:pStyle w:val="Heading2"/>
      </w:pPr>
      <w:r>
        <w:t>17.4 Animal information system</w:t>
      </w:r>
    </w:p>
    <w:p>
      <w:r>
        <w:t>Internal systems should track intake, treatment, housing, behavior, adoption and follow-up with role-based access. Public rescue profiles should expose only approved fields. Store records with backups and appropriate retention controls; do not place personal adopter records permanently on-chain.</w:t>
      </w:r>
    </w:p>
    <w:p>
      <w:pPr>
        <w:pStyle w:val="Heading2"/>
      </w:pPr>
      <w:r>
        <w:t>17.5 NFT storage and authority</w:t>
      </w:r>
    </w:p>
    <w:p>
      <w:r>
        <w:t>Publish the art and metadata storage method, URI structure, availability responsibilities and update authority. Content hashes help verify files but do not ensure that a server remains online. Use suitable durable storage and retain recovery copies. Document what can change and preserve previous reveal or evolution manifests.</w:t>
      </w:r>
    </w:p>
    <w:p>
      <w:pPr>
        <w:pStyle w:val="Heading2"/>
      </w:pPr>
      <w:r>
        <w:t>17.6 Launch verification</w:t>
      </w:r>
    </w:p>
    <w:p>
      <w:r>
        <w:t>Test minting, reveal, royalty configuration, fee receipt, treasury signing, dashboard classification and published identifiers. Review any custom contract code at a scope proportionate to its risk. Do not claim audited smart contracts if the project only uses an existing standard or has performed internal testing.</w:t>
      </w:r>
    </w:p>
    <w:p>
      <w:pPr>
        <w:pStyle w:val="Heading1"/>
      </w:pPr>
      <w:r>
        <w:t>18 Community participation and governance</w:t>
      </w:r>
    </w:p>
    <w:p>
      <w:pPr>
        <w:pStyle w:val="Heading2"/>
      </w:pPr>
      <w:r>
        <w:t>18.1 Community input</w:t>
      </w:r>
    </w:p>
    <w:p>
      <w:r>
        <w:t>Supporters may participate in names, campaign themes, art feedback and priority discussions among pre-approved, feasible initiatives. Public suggestions and responses can make development easier to understand without requiring every operational decision to become a token vote.</w:t>
      </w:r>
    </w:p>
    <w:p>
      <w:pPr>
        <w:pStyle w:val="Heading2"/>
      </w:pPr>
      <w:r>
        <w:t>18.2 Reserved responsibilities</w:t>
      </w:r>
    </w:p>
    <w:p>
      <w:r>
        <w:t>Medical care, animal intake, adoption suitability, legal compliance, staff management and custody controls remain with authorized personnel. A large token holding does not provide veterinary competence or rights over living animals. The governing entity retains its legal responsibilities regardless of online polling.</w:t>
      </w:r>
    </w:p>
    <w:p>
      <w:pPr>
        <w:pStyle w:val="Heading2"/>
      </w:pPr>
      <w:r>
        <w:t>18.3 Governance design</w:t>
      </w:r>
    </w:p>
    <w:p>
      <w:r>
        <w:t>Any formal voting system requires published eligibility, quorum, proposal process, anti-abuse rules, implementation authority and appeal route. Token-weighted polls can concentrate influence and should not be described as representative of all supporters without qualification.</w:t>
      </w:r>
    </w:p>
    <w:p>
      <w:r>
        <w:t>This draft does not establish a DAO or grant binding tokenholder control. If governance rights are added, publish their exact legal and technical effect and update the risk and regulatory sections before use.</w:t>
      </w:r>
    </w:p>
    <w:p>
      <w:pPr>
        <w:pStyle w:val="Heading2"/>
      </w:pPr>
      <w:r>
        <w:t>18.4 Conflicts and accountability</w:t>
      </w:r>
    </w:p>
    <w:p>
      <w:r>
        <w:t>People approving payments should disclose financial interests in suppliers, related entities and project token holdings where relevant. Related-party transactions require independent approval and public category-level reporting. The founder should not be the sole requester, approver, recipient and reviewer of the same payment.</w:t>
      </w:r>
    </w:p>
    <w:p>
      <w:pPr>
        <w:pStyle w:val="Heading1"/>
      </w:pPr>
      <w:r>
        <w:t>19 Legal and regulatory preparation</w:t>
      </w:r>
    </w:p>
    <w:p>
      <w:pPr>
        <w:pStyle w:val="Heading2"/>
      </w:pPr>
      <w:r>
        <w:t>19.1 Entity and offering structure</w:t>
      </w:r>
    </w:p>
    <w:p>
      <w:r>
        <w:t>Before collecting public funds, identify the legal persons and responsibilities across issuance, fee collection, property ownership and animal operations. Determine applicable rules for each jurisdiction targeted by marketing, not only the blockchain or the intended sanctuary country. Professional review should cover offering terms, fundraising, accounting, tax, banking and consumer rights.</w:t>
      </w:r>
    </w:p>
    <w:p>
      <w:pPr>
        <w:pStyle w:val="Heading2"/>
      </w:pPr>
      <w:r>
        <w:t>19.2 Crypto classification</w:t>
      </w:r>
    </w:p>
    <w:p>
      <w:r>
        <w:t>Under MiCA, public offers and admission to trading can carry obligations depending on the asset and circumstances. The NFT label does not decide the result: the regulation expressly treats issuance in a large series or collection as an indicator relevant to fungibility. The actual features and rights must be assessed. [R2]</w:t>
      </w:r>
    </w:p>
    <w:p>
      <w:r>
        <w:t>This document does not establish eligibility for an exemption, satisfy a regulatory filing or authorize an offering. Counsel should assess the chosen token and NFT design, launch mechanism, jurisdictions, required disclosures and any notification or other obligations before sale. Changes involving revenue shares or financial rights require renewed review.</w:t>
      </w:r>
    </w:p>
    <w:p>
      <w:pPr>
        <w:pStyle w:val="Heading2"/>
      </w:pPr>
      <w:r>
        <w:t>19.3 Sanctuary and veterinary compliance</w:t>
      </w:r>
    </w:p>
    <w:p>
      <w:r>
        <w:t>Philippine animal welfare legislation covers the welfare and operation of facilities keeping and treating animals. The project must verify the relevant registration, facility, veterinary and local requirements for its actual operation. Building, land use, waste, employment and safety obligations also require confirmation before opening. [R3]</w:t>
      </w:r>
    </w:p>
    <w:p>
      <w:r>
        <w:t>Clinical procedures and medicines must be managed by appropriately qualified personnel. Rescue authority, ownership checks and any enforcement-related activity must follow applicable rules rather than assumptions based on the project’s mission.</w:t>
      </w:r>
    </w:p>
    <w:p>
      <w:pPr>
        <w:pStyle w:val="Heading2"/>
      </w:pPr>
      <w:r>
        <w:t>19.4 Funds and taxes</w:t>
      </w:r>
    </w:p>
    <w:p>
      <w:r>
        <w:t>Creator fees, token disposals, NFT sales, royalties, donations and adoption fees may receive different tax and accounting treatment. Publish whether figures are gross or net and how taxes are provisioned. Do not describe all token purchases as tax-deductible donations or claim charity status before it is established.</w:t>
      </w:r>
    </w:p>
    <w:p>
      <w:r>
        <w:t>Where conversions or transfers involve regulated service providers, their onboarding and source-of-funds requirements must be anticipated. Keep adequate records to explain the project’s activities and ownership rather than relying on a wallet address alone.</w:t>
      </w:r>
    </w:p>
    <w:p>
      <w:pPr>
        <w:pStyle w:val="Heading2"/>
      </w:pPr>
      <w:r>
        <w:t>19.5 Data and consumer protection</w:t>
      </w:r>
    </w:p>
    <w:p>
      <w:r>
        <w:t>Publish terms covering mint delivery, reveal, artwork rights, complaints and legally required remedies. A blanket statement that crypto purchases are non-refundable cannot override applicable rights. Adopter, staff and supporter data should be handled under the relevant privacy rules with appropriate notices and consent where required.</w:t>
      </w:r>
    </w:p>
    <w:p>
      <w:pPr>
        <w:pStyle w:val="Heading1"/>
      </w:pPr>
      <w:r>
        <w:t>20 Roadmap and milestone gates</w:t>
      </w:r>
    </w:p>
    <w:p>
      <w:pPr>
        <w:pStyle w:val="Heading2"/>
      </w:pPr>
      <w:r>
        <w:t>20.1 Foundation</w:t>
      </w:r>
    </w:p>
    <w:p>
      <w:r>
        <w:t>Complete the entity and ownership plan, legal assessments, draft operating budget, treasury policy, technical feasibility review and preliminary welfare framework. Publish this whitepaper’s adopted policies and clearly identify unresolved decisions. Exit evidence includes responsible entities, approved controls and launch disclosures.</w:t>
      </w:r>
    </w:p>
    <w:p>
      <w:pPr>
        <w:pStyle w:val="Heading2"/>
      </w:pPr>
      <w:r>
        <w:t>20.2 Technical preparation and launch</w:t>
      </w:r>
    </w:p>
    <w:p>
      <w:r>
        <w:t>Finalize the token parameters, venue, fee recipient, authority controls and public identifiers. Test revenue routing and reporting. If an NFT sale is included, complete the artwork, rights, reveal design, technical testing and sale terms. A token launch and NFT launch can occur separately; neither must depend on an untested promise about the other.</w:t>
      </w:r>
    </w:p>
    <w:p>
      <w:pPr>
        <w:pStyle w:val="Heading2"/>
      </w:pPr>
      <w:r>
        <w:t>20.3 Funding and due diligence</w:t>
      </w:r>
    </w:p>
    <w:p>
      <w:r>
        <w:t>Accumulate verified spendable capital and publish monthly reports. Evaluate properties confidentially, obtain costed designs and review suitable ownership arrangements. Exit requires approved due diligence, acquisition funds and a viable funded next stage. If revenue is inadequate, remain at this stage rather than claiming a construction date.</w:t>
      </w:r>
    </w:p>
    <w:p>
      <w:pPr>
        <w:pStyle w:val="Heading2"/>
      </w:pPr>
      <w:r>
        <w:t>20.4 Property acquisition</w:t>
      </w:r>
    </w:p>
    <w:p>
      <w:r>
        <w:t>Complete purchase, legal transfer and the associated records. Publish the location and redacted purchase evidence after completion. Update the budget with site-specific costs and design changes. A signed reservation is not equivalent to this milestone.</w:t>
      </w:r>
    </w:p>
    <w:p>
      <w:pPr>
        <w:pStyle w:val="Heading2"/>
      </w:pPr>
      <w:r>
        <w:t>20.5 Essential construction</w:t>
      </w:r>
    </w:p>
    <w:p>
      <w:r>
        <w:t>Complete the minimum safe facility, verify delivery, resolve material defects and satisfy required approvals. Publish construction expenditure and progress evidence. Retain enough funding for staff, supplies and reserves rather than exhausting cash on the building shell.</w:t>
      </w:r>
    </w:p>
    <w:p>
      <w:pPr>
        <w:pStyle w:val="Heading2"/>
      </w:pPr>
      <w:r>
        <w:t>20.6 Controlled opening</w:t>
      </w:r>
    </w:p>
    <w:p>
      <w:r>
        <w:t>Appoint staff, establish veterinary coverage, test procedures and confirm available reserves. Begin intake below approved maximum capacity, review early operations and increase gradually only when care quality and resources support it.</w:t>
      </w:r>
    </w:p>
    <w:p>
      <w:pPr>
        <w:pStyle w:val="Heading2"/>
      </w:pPr>
      <w:r>
        <w:t>20.7 Continuing operation and expansion</w:t>
      </w:r>
    </w:p>
    <w:p>
      <w:r>
        <w:t>Publish rescue and adoption outcomes, costs, reserves and lessons. Additional housing, services or species require a new capacity and budget assessment. Expansion follows evidence that the existing operation is sustainable.</w:t>
      </w:r>
    </w:p>
    <w:p>
      <w:pPr>
        <w:pStyle w:val="Heading2"/>
      </w:pPr>
      <w:r>
        <w:t>20.8 Timelines</w:t>
      </w:r>
    </w:p>
    <w:p>
      <w:r>
        <w:t>No calendar completion date is promised. Milestones depend on revenue, property availability, diligence, approvals, procurement and staffing. Estimated dates may be published once their dependencies are known, with assumptions and updates when they change.</w:t>
      </w:r>
    </w:p>
    <w:p>
      <w:pPr>
        <w:pStyle w:val="Heading1"/>
      </w:pPr>
      <w:r>
        <w:t>21 Risk management and continuity</w:t>
      </w:r>
    </w:p>
    <w:p>
      <w:pPr>
        <w:pStyle w:val="Heading2"/>
      </w:pPr>
      <w:r>
        <w:t>21.1 Fee income declines</w:t>
      </w:r>
    </w:p>
    <w:p>
      <w:r>
        <w:t>Creator fees may fall to zero. The response is to stop optional expansion, preserve essential expenditure, reduce new intake and use the operating reserve under a published recovery plan. Establish alternative support and qualified care partners before an emergency, not after cash is exhausted.</w:t>
      </w:r>
    </w:p>
    <w:p>
      <w:pPr>
        <w:pStyle w:val="Heading2"/>
      </w:pPr>
      <w:r>
        <w:t>21.2 Crypto and custody risks</w:t>
      </w:r>
    </w:p>
    <w:p>
      <w:r>
        <w:t>SOL and other assets can lose value; stablecoins can depeg or become inaccessible; keys can be lost or compromised; platforms can change fees or fail. Diversified spendable reserves, independent approvals, tested recovery and limited exposure reduce these risks but cannot remove them.</w:t>
      </w:r>
    </w:p>
    <w:p>
      <w:pPr>
        <w:pStyle w:val="Heading2"/>
      </w:pPr>
      <w:r>
        <w:t>21.3 Development risks</w:t>
      </w:r>
    </w:p>
    <w:p>
      <w:r>
        <w:t>Title defects, unsuitable land, delayed permits, contractor failure, inflation and currency movements can increase cost or delay opening. Independent due diligence, phased contracting, contingencies and realistic scope provide controls. Material changes must be reported rather than hidden behind a progress percentage.</w:t>
      </w:r>
    </w:p>
    <w:p>
      <w:pPr>
        <w:pStyle w:val="Heading2"/>
      </w:pPr>
      <w:r>
        <w:t>21.4 Welfare and operational risks</w:t>
      </w:r>
    </w:p>
    <w:p>
      <w:r>
        <w:t>Disease outbreaks, extreme weather, injury, staff shortages, overcapacity and adoption returns can strain the sanctuary. Maintain disease-control space, trained coverage, evacuation procedures, external veterinary support and capacity limits. Safety and care should take precedence over keeping every service open during an incident.</w:t>
      </w:r>
    </w:p>
    <w:p>
      <w:pPr>
        <w:pStyle w:val="Heading2"/>
      </w:pPr>
      <w:r>
        <w:t>21.5 Reputation and information risks</w:t>
      </w:r>
    </w:p>
    <w:p>
      <w:r>
        <w:t>Impersonation, fabricated evidence, inaccurate reporting and undisclosed conflicts can damage trust. Verified identifiers, reconciled reports, independent review and a corrections process are needed. The project should respond to substantiated concerns with evidence rather than relying on price performance or community popularity.</w:t>
      </w:r>
    </w:p>
    <w:p>
      <w:pPr>
        <w:pStyle w:val="Heading2"/>
      </w:pPr>
      <w:r>
        <w:t>21.6 If the project cannot proceed</w:t>
      </w:r>
    </w:p>
    <w:p>
      <w:r>
        <w:t>Before accepting funds, publish a failure and wind-down policy defining who decides, which liabilities and restrictions apply, how remaining assets are treated and how supporters are informed. Transfer to a compatible lawful animal-welfare purpose may be suitable for some unrestricted funds, but requires the applicable entity rules, original terms and legal review.</w:t>
      </w:r>
    </w:p>
    <w:p>
      <w:r>
        <w:t>Funds must not default into personal accounts. An automatic refund to every secondary-market token buyer is neither assumed nor promised. Different purchases, donations and restricted contributions may carry different rights; the final policy must address those differences.</w:t>
      </w:r>
    </w:p>
    <w:p>
      <w:pPr>
        <w:pStyle w:val="Heading2"/>
      </w:pPr>
      <w:r>
        <w:t>21.7 If operations close after intake</w:t>
      </w:r>
    </w:p>
    <w:p>
      <w:r>
        <w:t>Animals require a funded transition plan, including safe placement, treatment records, transport and continuing care responsibility. Ring-fence resources for those needs when planning reserves. Publish the asset disposition and financial reconciliation, while protecting adopter and partner data.</w:t>
      </w:r>
    </w:p>
    <w:p>
      <w:pPr>
        <w:pStyle w:val="Heading1"/>
      </w:pPr>
      <w:r>
        <w:t>22 Impact measurement</w:t>
      </w:r>
    </w:p>
    <w:p>
      <w:pPr>
        <w:pStyle w:val="Heading2"/>
      </w:pPr>
      <w:r>
        <w:t>22.1 Animal outcomes</w:t>
      </w:r>
    </w:p>
    <w:p>
      <w:r>
        <w:t>Report animals admitted, in care at period end, reunited with owners, adopted, returned, transferred, deceased and receiving long-term care. Distinguish unique animals from repeated admissions. Explain transfers and deaths honestly, with appropriate privacy and clinical context.</w:t>
      </w:r>
    </w:p>
    <w:p>
      <w:r>
        <w:t>Reconcile the population: opening count plus admissions and returns, minus adoptions, reunifications, transfers and deaths, equals closing count. Investigate differences rather than using disconnected totals across social channels.</w:t>
      </w:r>
    </w:p>
    <w:p>
      <w:pPr>
        <w:pStyle w:val="Heading2"/>
      </w:pPr>
      <w:r>
        <w:t>22.2 Care and adoption quality</w:t>
      </w:r>
    </w:p>
    <w:p>
      <w:r>
        <w:t>Track relevant health interventions, length of stay, treatment completion, adoption readiness, post-adoption follow-up and placement retention at a stated interval. Define the denominator and reporting period for each rate. An adoption announced this month is different from a placement confirmed stable months later.</w:t>
      </w:r>
    </w:p>
    <w:p>
      <w:pPr>
        <w:pStyle w:val="Heading2"/>
      </w:pPr>
      <w:r>
        <w:t>22.3 Financial metrics</w:t>
      </w:r>
    </w:p>
    <w:p>
      <w:r>
        <w:t>Track creator fees received, NFT proceeds received, royalty receipts, other income, capital expenditure, operating expenditure, liabilities, reserve coverage and unrestricted runway. Cost per animal should distinguish operating care from one-off construction and explain differences in case complexity.</w:t>
      </w:r>
    </w:p>
    <w:p>
      <w:r>
        <w:t>Do not make a low cost-per-rescue figure the sole objective. Proper treatment of severe cases and humane long-term care may cost more and produce fewer rapid adoptions while still advancing the mission.</w:t>
      </w:r>
    </w:p>
    <w:p>
      <w:pPr>
        <w:pStyle w:val="Heading2"/>
      </w:pPr>
      <w:r>
        <w:t>22.4 Development metrics</w:t>
      </w:r>
    </w:p>
    <w:p>
      <w:r>
        <w:t>Report completed and approved infrastructure, capacity actually ready for use, contracted work remaining, cost variance and defects awaiting correction. A funded target is not a completed building; a completed building is not automatically a staffed and permitted service.</w:t>
      </w:r>
    </w:p>
    <w:p>
      <w:pPr>
        <w:pStyle w:val="Heading1"/>
      </w:pPr>
      <w:r>
        <w:t>23 Communications and supporter expectations</w:t>
      </w:r>
    </w:p>
    <w:p>
      <w:pPr>
        <w:pStyle w:val="Heading2"/>
      </w:pPr>
      <w:r>
        <w:t>23.1 Plain-language commitment</w:t>
      </w:r>
    </w:p>
    <w:p>
      <w:r>
        <w:t>The intended public commitment is: “Creator fees received by UnStray fund the development and operation of the sanctuary, from land and facilities to veterinary care and adoption. We publish the funds received, how they are used and the evidence behind our progress.” This wording should be published as a commitment only after the legal and financial arrangements support it.</w:t>
      </w:r>
    </w:p>
    <w:p>
      <w:pPr>
        <w:pStyle w:val="Heading2"/>
      </w:pPr>
      <w:r>
        <w:t>23.2 Claims to avoid</w:t>
      </w:r>
    </w:p>
    <w:p>
      <w:r>
        <w:t>Avoid guaranteed shelter completion dates, guaranteed token returns, permanent royalty guarantees, unverified charity status and statements implying that market capitalization is money raised. Do not imply a partnership, exchange listing, audit or land purchase before it exists.</w:t>
      </w:r>
    </w:p>
    <w:p>
      <w:r>
        <w:t>Promotional partners should disclose compensation and relevant interests. Project accounts should distinguish project news from speculative market commentary. Financial transparency should continue during poor market conditions, delayed milestones and unfavorable animal outcomes.</w:t>
      </w:r>
    </w:p>
    <w:p>
      <w:pPr>
        <w:pStyle w:val="Heading2"/>
      </w:pPr>
      <w:r>
        <w:t>23.3 Supporter rights and limits</w:t>
      </w:r>
    </w:p>
    <w:p>
      <w:r>
        <w:t>Supporters should have access to accurate project information, published terms and a working complaint route. Token and NFT ownership do not provide direct control over funds, land or animals unless explicitly established in lawful final terms. No such financial or property rights are included in this concept.</w:t>
      </w:r>
    </w:p>
    <w:p>
      <w:r>
        <w:t>People should be able to follow, volunteer, adopt or support approved programs without buying a speculative asset. No individual should be pressured to trade more to prove commitment to the animals.</w:t>
      </w:r>
    </w:p>
    <w:p>
      <w:pPr>
        <w:pStyle w:val="Heading1"/>
      </w:pPr>
      <w:r>
        <w:t>24 Unresolved decisions and launch checklist</w:t>
      </w:r>
    </w:p>
    <w:p>
      <w:pPr>
        <w:pStyle w:val="Heading2"/>
      </w:pPr>
      <w:r>
        <w:t>24.1 Decisions still required</w:t>
      </w:r>
    </w:p>
    <w:p>
      <w:r>
        <w:t>The remaining decisions include the legal structure, token and NFT issuers, landholding arrangement, governing body, treasury signers, banking and conversion providers, token supply and allocation, platform and fee rules, NFT supply and price, art license, reveal implementation, operating capacity and quoted development budget.</w:t>
      </w:r>
    </w:p>
    <w:p>
      <w:r>
        <w:t>The proposed reserve target, spending rules, compensation approach, reporting cadence, wind-down policy and independent review arrangement also need formal adoption. Their inclusion here makes the intended controls reviewable; it does not establish that staff, reviewers or service providers have accepted appointment.</w:t>
      </w:r>
    </w:p>
    <w:p>
      <w:pPr>
        <w:pStyle w:val="Heading2"/>
      </w:pPr>
      <w:r>
        <w:t>24.2 Before token launch</w:t>
      </w:r>
    </w:p>
    <w:p>
      <w:r>
        <w:t>Publish the responsible entities and contacts; legal assessment outcomes appropriate for public disclosure; finalized token parameters and allocation; authority and liquidity disclosures; fee routing and eligibility; treasury configuration; budget for pre-sanctuary costs; reporting policy; material risks; and applicable sale or participation terms. Confirm that addresses and links match the deployed assets.</w:t>
      </w:r>
    </w:p>
    <w:p>
      <w:pPr>
        <w:pStyle w:val="Heading2"/>
      </w:pPr>
      <w:r>
        <w:t>24.3 Before NFT mint</w:t>
      </w:r>
    </w:p>
    <w:p>
      <w:r>
        <w:t>Publish the verified collection, total and reserved supply, mint price, revenue splits, royalties, art and licensing terms, reveal deadline and fallback, assignment method, metadata powers, storage method and complaints process. Test the actual deployed configuration and disclose custom technical reviews and their limitations.</w:t>
      </w:r>
    </w:p>
    <w:p>
      <w:pPr>
        <w:pStyle w:val="Heading2"/>
      </w:pPr>
      <w:r>
        <w:t>24.4 Before purchase and opening</w:t>
      </w:r>
    </w:p>
    <w:p>
      <w:r>
        <w:t>Before purchase, complete lawful ownership, title and suitability review, all-in budget approval and next-stage funding assessment. Before opening, verify permits, safe facilities, staffing, veterinary coverage, records, incident planning, supplies and reserves. Publish the opening scope and actual intake capacity.</w:t>
      </w:r>
    </w:p>
    <w:p>
      <w:pPr>
        <w:pStyle w:val="Heading2"/>
      </w:pPr>
      <w:r>
        <w:t>24.5 Publication status</w:t>
      </w:r>
    </w:p>
    <w:p>
      <w:r>
        <w:t>Version 0.1 is a detailed concept draft. A launch-ready version should replace unresolved items with approved facts, include the relevant final terms and carry a dated change log. It should not present this draft’s examples or proposed controls as completed implementation.</w:t>
      </w:r>
    </w:p>
    <w:p>
      <w:pPr>
        <w:pStyle w:val="Heading1"/>
      </w:pPr>
      <w:r>
        <w:t>25 Worked financial examples</w:t>
      </w:r>
    </w:p>
    <w:p>
      <w:pPr>
        <w:pStyle w:val="Heading2"/>
      </w:pPr>
      <w:r>
        <w:t>25.1 Creator fee sensitivity</w:t>
      </w:r>
    </w:p>
    <w:p>
      <w:r>
        <w:t>The following effective creator rates are invented for illustration. They are not the rates of a selected platform and do not include tax, conversion costs or other obligations.</w:t>
      </w:r>
    </w:p>
    <w:tbl>
      <w:tblPr>
        <w:tblW w:type="auto" w:w="0"/>
        <w:tblLayout w:type="fixed"/>
        <w:tblLook w:firstColumn="1" w:firstRow="1" w:lastColumn="0" w:lastRow="0" w:noHBand="0" w:noVBand="1" w:val="04A0"/>
      </w:tblPr>
      <w:tblGrid>
        <w:gridCol w:w="3264"/>
        <w:gridCol w:w="3264"/>
        <w:gridCol w:w="3264"/>
      </w:tblGrid>
      <w:tr>
        <w:trPr>
          <w:tblHeader/>
        </w:trPr>
        <w:tc>
          <w:tcPr>
            <w:tcW w:type="dxa" w:w="3168"/>
            <w:tcBorders>
              <w:top w:val="single" w:sz="4" w:color="D9D9D9"/>
              <w:left w:val="single" w:sz="4" w:color="D9D9D9"/>
              <w:bottom w:val="single" w:sz="4" w:color="D9D9D9"/>
              <w:right w:val="single" w:sz="4" w:color="D9D9D9"/>
            </w:tcBorders>
            <w:tcMar>
              <w:top w:w="100" w:type="dxa"/>
              <w:left w:w="100" w:type="dxa"/>
              <w:bottom w:w="100" w:type="dxa"/>
              <w:right w:w="100" w:type="dxa"/>
            </w:tcMar>
            <w:shd w:fill="303C46"/>
          </w:tcPr>
          <w:p>
            <w:pPr>
              <w:spacing w:after="60"/>
            </w:pPr>
            <w:r>
              <w:rPr>
                <w:b/>
                <w:color w:val="FFFFFF"/>
                <w:sz w:val="20"/>
              </w:rPr>
              <w:t>Monthly eligible volume</w:t>
            </w:r>
          </w:p>
        </w:tc>
        <w:tc>
          <w:tcPr>
            <w:tcW w:type="dxa" w:w="3456"/>
            <w:tcBorders>
              <w:top w:val="single" w:sz="4" w:color="D9D9D9"/>
              <w:left w:val="single" w:sz="4" w:color="D9D9D9"/>
              <w:bottom w:val="single" w:sz="4" w:color="D9D9D9"/>
              <w:right w:val="single" w:sz="4" w:color="D9D9D9"/>
            </w:tcBorders>
            <w:tcMar>
              <w:top w:w="100" w:type="dxa"/>
              <w:left w:w="100" w:type="dxa"/>
              <w:bottom w:w="100" w:type="dxa"/>
              <w:right w:w="100" w:type="dxa"/>
            </w:tcMar>
            <w:shd w:fill="303C46"/>
          </w:tcPr>
          <w:p>
            <w:pPr>
              <w:spacing w:after="60"/>
            </w:pPr>
            <w:r>
              <w:rPr>
                <w:b/>
                <w:color w:val="FFFFFF"/>
                <w:sz w:val="20"/>
              </w:rPr>
              <w:t>Illustrative effective creator rate</w:t>
            </w:r>
          </w:p>
        </w:tc>
        <w:tc>
          <w:tcPr>
            <w:tcW w:type="dxa" w:w="3168"/>
            <w:tcBorders>
              <w:top w:val="single" w:sz="4" w:color="D9D9D9"/>
              <w:left w:val="single" w:sz="4" w:color="D9D9D9"/>
              <w:bottom w:val="single" w:sz="4" w:color="D9D9D9"/>
              <w:right w:val="single" w:sz="4" w:color="D9D9D9"/>
            </w:tcBorders>
            <w:tcMar>
              <w:top w:w="100" w:type="dxa"/>
              <w:left w:w="100" w:type="dxa"/>
              <w:bottom w:w="100" w:type="dxa"/>
              <w:right w:w="100" w:type="dxa"/>
            </w:tcMar>
            <w:shd w:fill="303C46"/>
          </w:tcPr>
          <w:p>
            <w:pPr>
              <w:spacing w:after="60"/>
            </w:pPr>
            <w:r>
              <w:rPr>
                <w:b/>
                <w:color w:val="FFFFFF"/>
                <w:sz w:val="20"/>
              </w:rPr>
              <w:t>Illustrative gross entitlement</w:t>
            </w:r>
          </w:p>
        </w:tc>
      </w:tr>
      <w:tr>
        <w:tc>
          <w:tcPr>
            <w:tcW w:type="dxa" w:w="3168"/>
            <w:tcBorders>
              <w:top w:val="single" w:sz="4" w:color="D9D9D9"/>
              <w:left w:val="single" w:sz="4" w:color="D9D9D9"/>
              <w:bottom w:val="single" w:sz="4" w:color="D9D9D9"/>
              <w:right w:val="single" w:sz="4" w:color="D9D9D9"/>
            </w:tcBorders>
            <w:tcMar>
              <w:top w:w="100" w:type="dxa"/>
              <w:left w:w="100" w:type="dxa"/>
              <w:bottom w:w="100" w:type="dxa"/>
              <w:right w:w="100" w:type="dxa"/>
            </w:tcMar>
            <w:shd w:fill="FFFFFF"/>
          </w:tcPr>
          <w:p>
            <w:pPr>
              <w:spacing w:after="60"/>
            </w:pPr>
            <w:r>
              <w:rPr>
                <w:b w:val="0"/>
                <w:color w:val="000000"/>
                <w:sz w:val="20"/>
              </w:rPr>
              <w:t>USD 100,000</w:t>
            </w:r>
          </w:p>
        </w:tc>
        <w:tc>
          <w:tcPr>
            <w:tcW w:type="dxa" w:w="3456"/>
            <w:tcBorders>
              <w:top w:val="single" w:sz="4" w:color="D9D9D9"/>
              <w:left w:val="single" w:sz="4" w:color="D9D9D9"/>
              <w:bottom w:val="single" w:sz="4" w:color="D9D9D9"/>
              <w:right w:val="single" w:sz="4" w:color="D9D9D9"/>
            </w:tcBorders>
            <w:tcMar>
              <w:top w:w="100" w:type="dxa"/>
              <w:left w:w="100" w:type="dxa"/>
              <w:bottom w:w="100" w:type="dxa"/>
              <w:right w:w="100" w:type="dxa"/>
            </w:tcMar>
            <w:shd w:fill="FFFFFF"/>
          </w:tcPr>
          <w:p>
            <w:pPr>
              <w:spacing w:after="60"/>
            </w:pPr>
            <w:r>
              <w:rPr>
                <w:b w:val="0"/>
                <w:color w:val="000000"/>
                <w:sz w:val="20"/>
              </w:rPr>
              <w:t>0.25 percent</w:t>
            </w:r>
          </w:p>
        </w:tc>
        <w:tc>
          <w:tcPr>
            <w:tcW w:type="dxa" w:w="3168"/>
            <w:tcBorders>
              <w:top w:val="single" w:sz="4" w:color="D9D9D9"/>
              <w:left w:val="single" w:sz="4" w:color="D9D9D9"/>
              <w:bottom w:val="single" w:sz="4" w:color="D9D9D9"/>
              <w:right w:val="single" w:sz="4" w:color="D9D9D9"/>
            </w:tcBorders>
            <w:tcMar>
              <w:top w:w="100" w:type="dxa"/>
              <w:left w:w="100" w:type="dxa"/>
              <w:bottom w:w="100" w:type="dxa"/>
              <w:right w:w="100" w:type="dxa"/>
            </w:tcMar>
            <w:shd w:fill="FFFFFF"/>
          </w:tcPr>
          <w:p>
            <w:pPr>
              <w:spacing w:after="60"/>
            </w:pPr>
            <w:r>
              <w:rPr>
                <w:b w:val="0"/>
                <w:color w:val="000000"/>
                <w:sz w:val="20"/>
              </w:rPr>
              <w:t>USD 250</w:t>
            </w:r>
          </w:p>
        </w:tc>
      </w:tr>
      <w:tr>
        <w:tc>
          <w:tcPr>
            <w:tcW w:type="dxa" w:w="3168"/>
            <w:tcBorders>
              <w:top w:val="single" w:sz="4" w:color="D9D9D9"/>
              <w:left w:val="single" w:sz="4" w:color="D9D9D9"/>
              <w:bottom w:val="single" w:sz="4" w:color="D9D9D9"/>
              <w:right w:val="single" w:sz="4" w:color="D9D9D9"/>
            </w:tcBorders>
            <w:tcMar>
              <w:top w:w="100" w:type="dxa"/>
              <w:left w:w="100" w:type="dxa"/>
              <w:bottom w:w="100" w:type="dxa"/>
              <w:right w:w="100" w:type="dxa"/>
            </w:tcMar>
            <w:shd w:fill="F3F5F6"/>
          </w:tcPr>
          <w:p>
            <w:pPr>
              <w:spacing w:after="60"/>
            </w:pPr>
            <w:r>
              <w:rPr>
                <w:b w:val="0"/>
                <w:color w:val="000000"/>
                <w:sz w:val="20"/>
              </w:rPr>
              <w:t>USD 1,000,000</w:t>
            </w:r>
          </w:p>
        </w:tc>
        <w:tc>
          <w:tcPr>
            <w:tcW w:type="dxa" w:w="3456"/>
            <w:tcBorders>
              <w:top w:val="single" w:sz="4" w:color="D9D9D9"/>
              <w:left w:val="single" w:sz="4" w:color="D9D9D9"/>
              <w:bottom w:val="single" w:sz="4" w:color="D9D9D9"/>
              <w:right w:val="single" w:sz="4" w:color="D9D9D9"/>
            </w:tcBorders>
            <w:tcMar>
              <w:top w:w="100" w:type="dxa"/>
              <w:left w:w="100" w:type="dxa"/>
              <w:bottom w:w="100" w:type="dxa"/>
              <w:right w:w="100" w:type="dxa"/>
            </w:tcMar>
            <w:shd w:fill="F3F5F6"/>
          </w:tcPr>
          <w:p>
            <w:pPr>
              <w:spacing w:after="60"/>
            </w:pPr>
            <w:r>
              <w:rPr>
                <w:b w:val="0"/>
                <w:color w:val="000000"/>
                <w:sz w:val="20"/>
              </w:rPr>
              <w:t>0.25 percent</w:t>
            </w:r>
          </w:p>
        </w:tc>
        <w:tc>
          <w:tcPr>
            <w:tcW w:type="dxa" w:w="3168"/>
            <w:tcBorders>
              <w:top w:val="single" w:sz="4" w:color="D9D9D9"/>
              <w:left w:val="single" w:sz="4" w:color="D9D9D9"/>
              <w:bottom w:val="single" w:sz="4" w:color="D9D9D9"/>
              <w:right w:val="single" w:sz="4" w:color="D9D9D9"/>
            </w:tcBorders>
            <w:tcMar>
              <w:top w:w="100" w:type="dxa"/>
              <w:left w:w="100" w:type="dxa"/>
              <w:bottom w:w="100" w:type="dxa"/>
              <w:right w:w="100" w:type="dxa"/>
            </w:tcMar>
            <w:shd w:fill="F3F5F6"/>
          </w:tcPr>
          <w:p>
            <w:pPr>
              <w:spacing w:after="60"/>
            </w:pPr>
            <w:r>
              <w:rPr>
                <w:b w:val="0"/>
                <w:color w:val="000000"/>
                <w:sz w:val="20"/>
              </w:rPr>
              <w:t>USD 2,500</w:t>
            </w:r>
          </w:p>
        </w:tc>
      </w:tr>
      <w:tr>
        <w:tc>
          <w:tcPr>
            <w:tcW w:type="dxa" w:w="3168"/>
            <w:tcBorders>
              <w:top w:val="single" w:sz="4" w:color="D9D9D9"/>
              <w:left w:val="single" w:sz="4" w:color="D9D9D9"/>
              <w:bottom w:val="single" w:sz="4" w:color="D9D9D9"/>
              <w:right w:val="single" w:sz="4" w:color="D9D9D9"/>
            </w:tcBorders>
            <w:tcMar>
              <w:top w:w="100" w:type="dxa"/>
              <w:left w:w="100" w:type="dxa"/>
              <w:bottom w:w="100" w:type="dxa"/>
              <w:right w:w="100" w:type="dxa"/>
            </w:tcMar>
            <w:shd w:fill="FFFFFF"/>
          </w:tcPr>
          <w:p>
            <w:pPr>
              <w:spacing w:after="60"/>
            </w:pPr>
            <w:r>
              <w:rPr>
                <w:b w:val="0"/>
                <w:color w:val="000000"/>
                <w:sz w:val="20"/>
              </w:rPr>
              <w:t>USD 1,000,000</w:t>
            </w:r>
          </w:p>
        </w:tc>
        <w:tc>
          <w:tcPr>
            <w:tcW w:type="dxa" w:w="3456"/>
            <w:tcBorders>
              <w:top w:val="single" w:sz="4" w:color="D9D9D9"/>
              <w:left w:val="single" w:sz="4" w:color="D9D9D9"/>
              <w:bottom w:val="single" w:sz="4" w:color="D9D9D9"/>
              <w:right w:val="single" w:sz="4" w:color="D9D9D9"/>
            </w:tcBorders>
            <w:tcMar>
              <w:top w:w="100" w:type="dxa"/>
              <w:left w:w="100" w:type="dxa"/>
              <w:bottom w:w="100" w:type="dxa"/>
              <w:right w:w="100" w:type="dxa"/>
            </w:tcMar>
            <w:shd w:fill="FFFFFF"/>
          </w:tcPr>
          <w:p>
            <w:pPr>
              <w:spacing w:after="60"/>
            </w:pPr>
            <w:r>
              <w:rPr>
                <w:b w:val="0"/>
                <w:color w:val="000000"/>
                <w:sz w:val="20"/>
              </w:rPr>
              <w:t>0.50 percent</w:t>
            </w:r>
          </w:p>
        </w:tc>
        <w:tc>
          <w:tcPr>
            <w:tcW w:type="dxa" w:w="3168"/>
            <w:tcBorders>
              <w:top w:val="single" w:sz="4" w:color="D9D9D9"/>
              <w:left w:val="single" w:sz="4" w:color="D9D9D9"/>
              <w:bottom w:val="single" w:sz="4" w:color="D9D9D9"/>
              <w:right w:val="single" w:sz="4" w:color="D9D9D9"/>
            </w:tcBorders>
            <w:tcMar>
              <w:top w:w="100" w:type="dxa"/>
              <w:left w:w="100" w:type="dxa"/>
              <w:bottom w:w="100" w:type="dxa"/>
              <w:right w:w="100" w:type="dxa"/>
            </w:tcMar>
            <w:shd w:fill="FFFFFF"/>
          </w:tcPr>
          <w:p>
            <w:pPr>
              <w:spacing w:after="60"/>
            </w:pPr>
            <w:r>
              <w:rPr>
                <w:b w:val="0"/>
                <w:color w:val="000000"/>
                <w:sz w:val="20"/>
              </w:rPr>
              <w:t>USD 5,000</w:t>
            </w:r>
          </w:p>
        </w:tc>
      </w:tr>
      <w:tr>
        <w:tc>
          <w:tcPr>
            <w:tcW w:type="dxa" w:w="3168"/>
            <w:tcBorders>
              <w:top w:val="single" w:sz="4" w:color="D9D9D9"/>
              <w:left w:val="single" w:sz="4" w:color="D9D9D9"/>
              <w:bottom w:val="single" w:sz="4" w:color="D9D9D9"/>
              <w:right w:val="single" w:sz="4" w:color="D9D9D9"/>
            </w:tcBorders>
            <w:tcMar>
              <w:top w:w="100" w:type="dxa"/>
              <w:left w:w="100" w:type="dxa"/>
              <w:bottom w:w="100" w:type="dxa"/>
              <w:right w:w="100" w:type="dxa"/>
            </w:tcMar>
            <w:shd w:fill="F3F5F6"/>
          </w:tcPr>
          <w:p>
            <w:pPr>
              <w:spacing w:after="60"/>
            </w:pPr>
            <w:r>
              <w:rPr>
                <w:b w:val="0"/>
                <w:color w:val="000000"/>
                <w:sz w:val="20"/>
              </w:rPr>
              <w:t>USD 10,000,000</w:t>
            </w:r>
          </w:p>
        </w:tc>
        <w:tc>
          <w:tcPr>
            <w:tcW w:type="dxa" w:w="3456"/>
            <w:tcBorders>
              <w:top w:val="single" w:sz="4" w:color="D9D9D9"/>
              <w:left w:val="single" w:sz="4" w:color="D9D9D9"/>
              <w:bottom w:val="single" w:sz="4" w:color="D9D9D9"/>
              <w:right w:val="single" w:sz="4" w:color="D9D9D9"/>
            </w:tcBorders>
            <w:tcMar>
              <w:top w:w="100" w:type="dxa"/>
              <w:left w:w="100" w:type="dxa"/>
              <w:bottom w:w="100" w:type="dxa"/>
              <w:right w:w="100" w:type="dxa"/>
            </w:tcMar>
            <w:shd w:fill="F3F5F6"/>
          </w:tcPr>
          <w:p>
            <w:pPr>
              <w:spacing w:after="60"/>
            </w:pPr>
            <w:r>
              <w:rPr>
                <w:b w:val="0"/>
                <w:color w:val="000000"/>
                <w:sz w:val="20"/>
              </w:rPr>
              <w:t>0.50 percent</w:t>
            </w:r>
          </w:p>
        </w:tc>
        <w:tc>
          <w:tcPr>
            <w:tcW w:type="dxa" w:w="3168"/>
            <w:tcBorders>
              <w:top w:val="single" w:sz="4" w:color="D9D9D9"/>
              <w:left w:val="single" w:sz="4" w:color="D9D9D9"/>
              <w:bottom w:val="single" w:sz="4" w:color="D9D9D9"/>
              <w:right w:val="single" w:sz="4" w:color="D9D9D9"/>
            </w:tcBorders>
            <w:tcMar>
              <w:top w:w="100" w:type="dxa"/>
              <w:left w:w="100" w:type="dxa"/>
              <w:bottom w:w="100" w:type="dxa"/>
              <w:right w:w="100" w:type="dxa"/>
            </w:tcMar>
            <w:shd w:fill="F3F5F6"/>
          </w:tcPr>
          <w:p>
            <w:pPr>
              <w:spacing w:after="60"/>
            </w:pPr>
            <w:r>
              <w:rPr>
                <w:b w:val="0"/>
                <w:color w:val="000000"/>
                <w:sz w:val="20"/>
              </w:rPr>
              <w:t>USD 50,000</w:t>
            </w:r>
          </w:p>
        </w:tc>
      </w:tr>
      <w:tr>
        <w:tc>
          <w:tcPr>
            <w:tcW w:type="dxa" w:w="3168"/>
            <w:tcBorders>
              <w:top w:val="single" w:sz="4" w:color="D9D9D9"/>
              <w:left w:val="single" w:sz="4" w:color="D9D9D9"/>
              <w:bottom w:val="single" w:sz="4" w:color="D9D9D9"/>
              <w:right w:val="single" w:sz="4" w:color="D9D9D9"/>
            </w:tcBorders>
            <w:tcMar>
              <w:top w:w="100" w:type="dxa"/>
              <w:left w:w="100" w:type="dxa"/>
              <w:bottom w:w="100" w:type="dxa"/>
              <w:right w:w="100" w:type="dxa"/>
            </w:tcMar>
            <w:shd w:fill="FFFFFF"/>
          </w:tcPr>
          <w:p>
            <w:pPr>
              <w:spacing w:after="60"/>
            </w:pPr>
            <w:r>
              <w:rPr>
                <w:b w:val="0"/>
                <w:color w:val="000000"/>
                <w:sz w:val="20"/>
              </w:rPr>
              <w:t>USD 0</w:t>
            </w:r>
          </w:p>
        </w:tc>
        <w:tc>
          <w:tcPr>
            <w:tcW w:type="dxa" w:w="3456"/>
            <w:tcBorders>
              <w:top w:val="single" w:sz="4" w:color="D9D9D9"/>
              <w:left w:val="single" w:sz="4" w:color="D9D9D9"/>
              <w:bottom w:val="single" w:sz="4" w:color="D9D9D9"/>
              <w:right w:val="single" w:sz="4" w:color="D9D9D9"/>
            </w:tcBorders>
            <w:tcMar>
              <w:top w:w="100" w:type="dxa"/>
              <w:left w:w="100" w:type="dxa"/>
              <w:bottom w:w="100" w:type="dxa"/>
              <w:right w:w="100" w:type="dxa"/>
            </w:tcMar>
            <w:shd w:fill="FFFFFF"/>
          </w:tcPr>
          <w:p>
            <w:pPr>
              <w:spacing w:after="60"/>
            </w:pPr>
            <w:r>
              <w:rPr>
                <w:b w:val="0"/>
                <w:color w:val="000000"/>
                <w:sz w:val="20"/>
              </w:rPr>
              <w:t>Any rate</w:t>
            </w:r>
          </w:p>
        </w:tc>
        <w:tc>
          <w:tcPr>
            <w:tcW w:type="dxa" w:w="3168"/>
            <w:tcBorders>
              <w:top w:val="single" w:sz="4" w:color="D9D9D9"/>
              <w:left w:val="single" w:sz="4" w:color="D9D9D9"/>
              <w:bottom w:val="single" w:sz="4" w:color="D9D9D9"/>
              <w:right w:val="single" w:sz="4" w:color="D9D9D9"/>
            </w:tcBorders>
            <w:tcMar>
              <w:top w:w="100" w:type="dxa"/>
              <w:left w:w="100" w:type="dxa"/>
              <w:bottom w:w="100" w:type="dxa"/>
              <w:right w:w="100" w:type="dxa"/>
            </w:tcMar>
            <w:shd w:fill="FFFFFF"/>
          </w:tcPr>
          <w:p>
            <w:pPr>
              <w:spacing w:after="60"/>
            </w:pPr>
            <w:r>
              <w:rPr>
                <w:b w:val="0"/>
                <w:color w:val="000000"/>
                <w:sz w:val="20"/>
              </w:rPr>
              <w:t>USD 0</w:t>
            </w:r>
          </w:p>
        </w:tc>
      </w:tr>
    </w:tbl>
    <w:p/>
    <w:p>
      <w:r>
        <w:t>If a purely hypothetical capital target were USD 300,000 and every dollar of creator revenue were available for that target, an effective rate of 0.50 percent would require USD 60 million of cumulative eligible volume. At 0.25 percent, it would require USD 120 million. Real requirements would be higher if revenue also covers costs, taxes or reserves. These values demonstrate sensitivity rather than predict activity or establish a sanctuary budget.</w:t>
      </w:r>
    </w:p>
    <w:p>
      <w:pPr>
        <w:pStyle w:val="Heading2"/>
      </w:pPr>
      <w:r>
        <w:t>25.2 Receipt and use reconciliation</w:t>
      </w:r>
    </w:p>
    <w:p>
      <w:r>
        <w:t>Suppose a period begins with USD 20,000 of reporting-currency cash equivalent, receives USD 10,000 in creator fees at the recorded receipt value, incurs USD 200 in conversion and transaction costs, and pays USD 4,000 in approved expenses. Ignoring valuation movements and other obligations, the closing balance is USD 25,800.</w:t>
      </w:r>
    </w:p>
    <w:p>
      <w:r>
        <w:t>An additional USD 2,000 shown as claimable is not included in that closing cash balance. Moving USD 8,000 from the main treasury to a land wallet does not increase revenue or reduce the project’s consolidated cash. It changes the location or earmarking of the funds.</w:t>
      </w:r>
    </w:p>
    <w:p>
      <w:pPr>
        <w:pStyle w:val="Heading2"/>
      </w:pPr>
      <w:r>
        <w:t>25.3 Royalty example</w:t>
      </w:r>
    </w:p>
    <w:p>
      <w:r>
        <w:t>At a hypothetical 5 percent collection royalty, a supported sale for 1 SOL would specify 0.05 SOL of total creator royalties, subject to the actual mechanism and payment. If the project receives only 80 percent of the configured creator split, its nominal portion would be 0.04 SOL. This is not the selected collection rate or split. A transfer without a royalty payment generates no royalty receipt for the treasury.</w:t>
      </w:r>
    </w:p>
    <w:p>
      <w:pPr>
        <w:pStyle w:val="Heading2"/>
      </w:pPr>
      <w:r>
        <w:t>25.4 Runway and downside</w:t>
      </w:r>
    </w:p>
    <w:p>
      <w:r>
        <w:t>If unrestricted usable reserves are USD 60,000 and essential monthly expenditure is USD 5,000, simple zero-revenue runway is twelve months. If USD 15,000 of those funds are already committed to unpaid invoices, the uncommitted amount is USD 45,000 and the comparable runway is nine months. Tax liabilities, restrictions and emergency requirements can reduce it further.</w:t>
      </w:r>
    </w:p>
    <w:p>
      <w:r>
        <w:t>If net receipts fall to USD 2,000 per month while essential expenditure remains USD 5,000, the monthly cash deficit is USD 3,000. The project should plan conservatively using both zero-income and reduced-income cases, without presenting either as a forecast.</w:t>
      </w:r>
    </w:p>
    <w:p>
      <w:pPr>
        <w:pStyle w:val="Heading1"/>
      </w:pPr>
      <w:r>
        <w:t>26 Frequently asked questions</w:t>
      </w:r>
    </w:p>
    <w:p>
      <w:pPr>
        <w:pStyle w:val="Heading2"/>
      </w:pPr>
      <w:r>
        <w:t>Can creator fees pay for the entire sanctuary</w:t>
      </w:r>
    </w:p>
    <w:p>
      <w:r>
        <w:t>That is the intended model, including land purchase, development and continuing care. Its success depends on fees actually generated and collected. The project should scale its commitments to available funds and maintain a contingency plan rather than promise sufficient income in advance.</w:t>
      </w:r>
    </w:p>
    <w:p>
      <w:pPr>
        <w:pStyle w:val="Heading2"/>
      </w:pPr>
      <w:r>
        <w:t>Does buying the token directly buy shelter land</w:t>
      </w:r>
    </w:p>
    <w:p>
      <w:r>
        <w:t>Usually the purchase amount goes to the seller or market pool. The eligible creator portion, when received by UnStray, enters the sanctuary treasury. The published mechanism will show exactly which activity generates that portion.</w:t>
      </w:r>
    </w:p>
    <w:p>
      <w:pPr>
        <w:pStyle w:val="Heading2"/>
      </w:pPr>
      <w:r>
        <w:t>Will token or NFT holders receive shelter income</w:t>
      </w:r>
    </w:p>
    <w:p>
      <w:r>
        <w:t>This concept provides no dividends, revenue share or ownership of land or animals. It also provides no guaranteed token price or NFT resale value.</w:t>
      </w:r>
    </w:p>
    <w:p>
      <w:pPr>
        <w:pStyle w:val="Heading2"/>
      </w:pPr>
      <w:r>
        <w:t>Will every NFT represent a real rescue</w:t>
      </w:r>
    </w:p>
    <w:p>
      <w:r>
        <w:t>The proposed initial collection may contain fictional dog and cat artwork. Any later link to a real rescue must be explicitly identified and supported by records. Art reveal and real-world animal outcomes are separate events.</w:t>
      </w:r>
    </w:p>
    <w:p>
      <w:pPr>
        <w:pStyle w:val="Heading2"/>
      </w:pPr>
      <w:r>
        <w:t>Why are locations withheld</w:t>
      </w:r>
    </w:p>
    <w:p>
      <w:r>
        <w:t>Candidate parcels and exact locations remain confidential until purchase is complete. The project can still report diligence stages, approved budgets, responsible entities and independent review before purchase. After purchase, location and appropriate ownership evidence are intended to be disclosed.</w:t>
      </w:r>
    </w:p>
    <w:p>
      <w:pPr>
        <w:pStyle w:val="Heading2"/>
      </w:pPr>
      <w:r>
        <w:t>Can the founder be paid</w:t>
      </w:r>
    </w:p>
    <w:p>
      <w:r>
        <w:t>Legitimate work may justify approved compensation or reimbursement, but it must be budgeted, independently authorized, legally compliant and disclosed. This draft does not approve any salary or personal withdrawal.</w:t>
      </w:r>
    </w:p>
    <w:p>
      <w:pPr>
        <w:pStyle w:val="Heading2"/>
      </w:pPr>
      <w:r>
        <w:t>What if creator fees stop</w:t>
      </w:r>
    </w:p>
    <w:p>
      <w:r>
        <w:t>The sanctuary should use reserves, limit intake and pause expansion while pursuing a funded continuity plan. Animals already in care remain the priority. If the project cannot continue, the published wind-down policy should govern assets and safe animal transfers.</w:t>
      </w:r>
    </w:p>
    <w:p>
      <w:pPr>
        <w:pStyle w:val="Heading2"/>
      </w:pPr>
      <w:r>
        <w:t>Is everything automatically visible on-chain</w:t>
      </w:r>
    </w:p>
    <w:p>
      <w:r>
        <w:t>Blockchain records show crypto movements. Purchase completion, construction delivery, veterinary work and bank payments require additional evidence. Transparency combines transaction records, conventional accounts and independent verification.</w:t>
      </w:r>
    </w:p>
    <w:p>
      <w:pPr>
        <w:pStyle w:val="Heading2"/>
      </w:pPr>
      <w:r>
        <w:t>When will the sanctuary open</w:t>
      </w:r>
    </w:p>
    <w:p>
      <w:r>
        <w:t>No opening date is committed in this draft. Opening follows funding, property acquisition, safe construction, required approvals, staffing, veterinary coverage and reserves.</w:t>
      </w:r>
    </w:p>
    <w:p>
      <w:pPr>
        <w:pStyle w:val="Heading1"/>
      </w:pPr>
      <w:r>
        <w:t>27 Glossary and references</w:t>
      </w:r>
    </w:p>
    <w:p>
      <w:pPr>
        <w:pStyle w:val="Heading2"/>
      </w:pPr>
      <w:r>
        <w:t>27.1 Glossary</w:t>
      </w:r>
    </w:p>
    <w:p>
      <w:r>
        <w:t>Creator fee means the designated creator share under the actual platform or venue mechanism. Eligible volume means activity to which that mechanism applies. Claimable balance means a verified entitlement that has not yet entered the treasury. Treasury means the project’s approved custody and accounting structure.</w:t>
      </w:r>
    </w:p>
    <w:p>
      <w:r>
        <w:t>Capital expenditure means spending on long-lived assets. Operating expenditure means the recurring cost of running the project. Restricted funds means resources limited by law, contract or contribution terms. Runway means the estimated period that available usable resources can cover a stated expenditure assumption.</w:t>
      </w:r>
    </w:p>
    <w:p>
      <w:r>
        <w:t>Mint address means the on-chain identifier of the actual token. Minting an NFT means creating the collectible asset. Reveal means assigning and displaying the final artwork under the published process. Royalties mean payments associated with supported secondary sales under the collection’s settings. Multisignature means an approval mechanism requiring multiple configured signers.</w:t>
      </w:r>
    </w:p>
    <w:p>
      <w:pPr>
        <w:pStyle w:val="Heading2"/>
      </w:pPr>
      <w:r>
        <w:t>27.2 Source notes</w:t>
      </w:r>
    </w:p>
    <w:p>
      <w:r>
        <w:t>External references support specific technical and legal statements. They do not validate the project, determine its compliance or confirm any adopted policy. Project design sections are proposals based on the founder’s stated concept. References were accessed on 4 October 2026 and should be rechecked before launch.</w:t>
      </w:r>
    </w:p>
    <w:p>
      <w:r>
        <w:t>[R1] Metaplex Core Royalties Plugin documentation. Supports the explanation of royalty configuration, creator splits and ruleset-dependent transfer restrictions. The documentation distinguishes advisory royalties with no restrictions from enforcement through compatible program access, and separates marketplace collection from configuration. https://www.metaplex.com/docs/smart-contracts/core/plugins/royalties</w:t>
      </w:r>
    </w:p>
    <w:p>
      <w:r>
        <w:t>[R2] Regulation EU 2023 1114 on markets in crypto-assets, particularly recitals 10 and 11 and the relevant offering provisions. Supports the need to assess actual crypto-asset characteristics and the treatment of large NFT series or collections. It is not a determination of which obligations apply to UnStray. https://eur-lex.europa.eu/eli/reg/2023/1114/oj/eng</w:t>
      </w:r>
    </w:p>
    <w:p>
      <w:r>
        <w:t>[R3] Philippine Republic Act 8485 and Republic Act 10631. Supports the animal-welfare framework and the need to review requirements for keeping and treating animals. Actual facility registration and local approvals must be confirmed separately. https://lawphil.net/statutes/repacts/ra1998/ra_8485_1998.html and https://lawphil.net/statutes/repacts/ra2013/ra_10631_2013.html</w:t>
      </w:r>
    </w:p>
    <w:p>
      <w:r>
        <w:t>[R4] 1987 Philippine Constitution, Article XII, particularly Section 7 and the related landholding provisions. Supports the need for a lawful landholding structure. Ownership eligibility and project-specific arrangements require local legal review. https://lawphil.net/consti/cons1987.html</w:t>
      </w:r>
    </w:p>
    <w:p>
      <w:pPr>
        <w:pStyle w:val="Heading2"/>
      </w:pPr>
      <w:r>
        <w:t>27.3 Version record</w:t>
      </w:r>
    </w:p>
    <w:p>
      <w:r>
        <w:t>Version 0.1 establishes the mission, full creator-fee funding intent, optional NFT framework, proposed treasury controls, sanctuary operating model, reporting approach and launch decision register. It excludes specific property locations and leaves unconfirmed economic and operational parameters unresolved. Future versions should record each material change and its effective date.</w:t>
      </w:r>
    </w:p>
    <w:sectPr w:rsidR="00FC693F" w:rsidRPr="0006063C" w:rsidSect="00034616">
      <w:headerReference w:type="default" r:id="rId9"/>
      <w:footerReference w:type="default" r:id="rId10"/>
      <w:pgSz w:w="12240" w:h="15840"/>
      <w:pgMar w:top="1080" w:right="1224" w:bottom="1008" w:left="122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sz w:val="16"/>
      </w:rPr>
      <w:t xml:space="preserve">Concept draft 0.1  |  4 October 2026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sz w:val="16"/>
      </w:rPr>
      <w:t>UNSTRAY  |  SANCTUARY DEVELOPMENT AND CREATOR FEE FUNDING</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line="259" w:lineRule="auto"/>
    </w:pPr>
    <w:rPr>
      <w:rFonts w:ascii="Calibri" w:hAnsi="Calibri"/>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40" w:after="160"/>
      <w:outlineLvl w:val="0"/>
    </w:pPr>
    <w:rPr>
      <w:rFonts w:asciiTheme="majorHAnsi" w:eastAsiaTheme="majorEastAsia" w:hAnsiTheme="majorHAnsi" w:cstheme="majorBidi" w:ascii="Calibri" w:hAnsi="Calibri"/>
      <w:b/>
      <w:bCs/>
      <w:color w:val="000000"/>
      <w:sz w:val="34"/>
      <w:szCs w:val="28"/>
    </w:rPr>
  </w:style>
  <w:style w:type="paragraph" w:styleId="Heading2">
    <w:name w:val="heading 2"/>
    <w:basedOn w:val="Normal"/>
    <w:next w:val="Normal"/>
    <w:link w:val="Heading2Char"/>
    <w:uiPriority w:val="9"/>
    <w:unhideWhenUsed/>
    <w:qFormat/>
    <w:rsid w:val="00FC693F"/>
    <w:pPr>
      <w:keepNext/>
      <w:keepLines/>
      <w:spacing w:before="220" w:after="100"/>
      <w:outlineLvl w:val="1"/>
    </w:pPr>
    <w:rPr>
      <w:rFonts w:asciiTheme="majorHAnsi" w:eastAsiaTheme="majorEastAsia" w:hAnsiTheme="majorHAnsi" w:cstheme="majorBidi" w:ascii="Calibri" w:hAnsi="Calibri"/>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Calibri" w:hAnsi="Calibri"/>
      <w:b/>
      <w:bCs/>
      <w:color w:val="00000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Calibri" w:hAnsi="Calibri"/>
      <w:color w:val="000000"/>
      <w:spacing w:val="5"/>
      <w:kern w:val="28"/>
      <w:sz w:val="6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Calibri" w:hAnsi="Calibri"/>
      <w:i/>
      <w:iCs/>
      <w:color w:val="000000"/>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UnStray Whitepaper</dc:title>
  <dc:subject>Sanctuary development and creator fee funding</dc:subject>
  <dc:creator>UnStray</dc:creator>
  <cp:keywords/>
  <dc:description>generated by python-docx</dc:description>
  <cp:lastModifiedBy/>
  <cp:revision>1</cp:revision>
  <dcterms:created xsi:type="dcterms:W3CDTF">2013-12-23T23:15:00Z</dcterms:created>
  <dcterms:modified xsi:type="dcterms:W3CDTF">2013-12-23T23:15:00Z</dcterms:modified>
  <cp:category/>
</cp:coreProperties>
</file>